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5E19" w14:textId="77777777" w:rsidR="000E6EE9" w:rsidRPr="000E6EE9" w:rsidRDefault="00174319" w:rsidP="00174319">
      <w:pPr>
        <w:rPr>
          <w:b/>
          <w:bCs/>
          <w:color w:val="0070C0"/>
          <w:sz w:val="28"/>
          <w:szCs w:val="28"/>
        </w:rPr>
      </w:pPr>
      <w:r w:rsidRPr="000E6EE9">
        <w:rPr>
          <w:b/>
          <w:bCs/>
          <w:color w:val="0070C0"/>
          <w:sz w:val="28"/>
          <w:szCs w:val="28"/>
        </w:rPr>
        <w:t xml:space="preserve">Plataforma </w:t>
      </w:r>
      <w:r w:rsidR="00E8400D" w:rsidRPr="000E6EE9">
        <w:rPr>
          <w:b/>
          <w:bCs/>
          <w:color w:val="0070C0"/>
          <w:sz w:val="28"/>
          <w:szCs w:val="28"/>
        </w:rPr>
        <w:t>para la</w:t>
      </w:r>
      <w:r w:rsidR="00AF6618" w:rsidRPr="000E6EE9">
        <w:rPr>
          <w:b/>
          <w:bCs/>
          <w:color w:val="0070C0"/>
          <w:sz w:val="28"/>
          <w:szCs w:val="28"/>
        </w:rPr>
        <w:t xml:space="preserve"> Gestión </w:t>
      </w:r>
      <w:r w:rsidR="00E8400D" w:rsidRPr="000E6EE9">
        <w:rPr>
          <w:b/>
          <w:bCs/>
          <w:color w:val="0070C0"/>
          <w:sz w:val="28"/>
          <w:szCs w:val="28"/>
        </w:rPr>
        <w:t xml:space="preserve">Integral y </w:t>
      </w:r>
      <w:r w:rsidR="00AF6618" w:rsidRPr="000E6EE9">
        <w:rPr>
          <w:b/>
          <w:bCs/>
          <w:color w:val="0070C0"/>
          <w:sz w:val="28"/>
          <w:szCs w:val="28"/>
        </w:rPr>
        <w:t>Sostenible de</w:t>
      </w:r>
      <w:r w:rsidR="00EC07E1" w:rsidRPr="000E6EE9">
        <w:rPr>
          <w:b/>
          <w:bCs/>
          <w:color w:val="0070C0"/>
          <w:sz w:val="28"/>
          <w:szCs w:val="28"/>
        </w:rPr>
        <w:t xml:space="preserve"> Plásticos y Residuos</w:t>
      </w:r>
      <w:r w:rsidR="000E6EE9" w:rsidRPr="000E6EE9">
        <w:rPr>
          <w:b/>
          <w:bCs/>
          <w:color w:val="0070C0"/>
          <w:sz w:val="28"/>
          <w:szCs w:val="28"/>
        </w:rPr>
        <w:t xml:space="preserve">: </w:t>
      </w:r>
    </w:p>
    <w:p w14:paraId="21DF4D5E" w14:textId="732EBFBE" w:rsidR="00174319" w:rsidRPr="000E6EE9" w:rsidRDefault="00AF6618" w:rsidP="00174319">
      <w:pPr>
        <w:rPr>
          <w:b/>
          <w:bCs/>
          <w:color w:val="0070C0"/>
          <w:sz w:val="28"/>
          <w:szCs w:val="28"/>
        </w:rPr>
      </w:pPr>
      <w:r w:rsidRPr="000E6EE9">
        <w:rPr>
          <w:b/>
          <w:bCs/>
          <w:color w:val="0070C0"/>
          <w:sz w:val="28"/>
          <w:szCs w:val="28"/>
        </w:rPr>
        <w:t>“</w:t>
      </w:r>
      <w:r w:rsidR="00174319" w:rsidRPr="000E6EE9">
        <w:rPr>
          <w:b/>
          <w:bCs/>
          <w:color w:val="0070C0"/>
          <w:sz w:val="28"/>
          <w:szCs w:val="28"/>
        </w:rPr>
        <w:t>Rescate Ozama</w:t>
      </w:r>
      <w:r w:rsidRPr="000E6EE9">
        <w:rPr>
          <w:b/>
          <w:bCs/>
          <w:color w:val="0070C0"/>
          <w:sz w:val="28"/>
          <w:szCs w:val="28"/>
        </w:rPr>
        <w:t>”</w:t>
      </w:r>
      <w:r w:rsidR="00EC07E1" w:rsidRPr="000E6EE9">
        <w:rPr>
          <w:b/>
          <w:bCs/>
          <w:color w:val="0070C0"/>
          <w:sz w:val="28"/>
          <w:szCs w:val="28"/>
        </w:rPr>
        <w:t xml:space="preserve"> </w:t>
      </w:r>
    </w:p>
    <w:p w14:paraId="4959474E" w14:textId="77777777" w:rsidR="00DB0BC5" w:rsidRDefault="00DB0BC5">
      <w:pPr>
        <w:pBdr>
          <w:bottom w:val="single" w:sz="12" w:space="1" w:color="auto"/>
        </w:pBdr>
        <w:rPr>
          <w:b/>
          <w:bCs/>
          <w:color w:val="0070C0"/>
          <w:sz w:val="25"/>
          <w:szCs w:val="25"/>
        </w:rPr>
      </w:pPr>
    </w:p>
    <w:p w14:paraId="799B06EA" w14:textId="2D8B055B" w:rsidR="00174319" w:rsidRPr="000E6EE9" w:rsidRDefault="00693ABA">
      <w:pPr>
        <w:pBdr>
          <w:bottom w:val="single" w:sz="12" w:space="1" w:color="auto"/>
        </w:pBdr>
        <w:rPr>
          <w:b/>
          <w:bCs/>
          <w:color w:val="0070C0"/>
        </w:rPr>
      </w:pPr>
      <w:r w:rsidRPr="000E6EE9">
        <w:rPr>
          <w:b/>
          <w:bCs/>
          <w:color w:val="0070C0"/>
        </w:rPr>
        <w:t>Nota Concepto</w:t>
      </w:r>
    </w:p>
    <w:p w14:paraId="1CE44252" w14:textId="77777777" w:rsidR="00602304" w:rsidRPr="00602304" w:rsidRDefault="00602304" w:rsidP="00602304">
      <w:pPr>
        <w:rPr>
          <w:b/>
          <w:bCs/>
          <w:color w:val="0070C0"/>
        </w:rPr>
      </w:pPr>
    </w:p>
    <w:p w14:paraId="20C88C12" w14:textId="7C7E456A" w:rsidR="00EC07E1" w:rsidRPr="00092BA4" w:rsidRDefault="00602304" w:rsidP="00092BA4">
      <w:pPr>
        <w:spacing w:after="120"/>
        <w:jc w:val="both"/>
        <w:rPr>
          <w:rFonts w:ascii="Calibri" w:eastAsia="Calibri" w:hAnsi="Calibri" w:cs="Calibri"/>
          <w:b/>
          <w:sz w:val="22"/>
          <w:szCs w:val="22"/>
        </w:rPr>
      </w:pPr>
      <w:r w:rsidRPr="00092BA4">
        <w:rPr>
          <w:rFonts w:ascii="Calibri" w:eastAsia="Calibri" w:hAnsi="Calibri" w:cs="Calibri"/>
          <w:b/>
          <w:sz w:val="22"/>
          <w:szCs w:val="22"/>
        </w:rPr>
        <w:t>1.</w:t>
      </w:r>
      <w:r w:rsidR="00092BA4" w:rsidRPr="00092BA4">
        <w:rPr>
          <w:rFonts w:ascii="Calibri" w:eastAsia="Calibri" w:hAnsi="Calibri" w:cs="Calibri"/>
          <w:b/>
          <w:sz w:val="22"/>
          <w:szCs w:val="22"/>
        </w:rPr>
        <w:t xml:space="preserve"> </w:t>
      </w:r>
      <w:r w:rsidRPr="00092BA4">
        <w:rPr>
          <w:rFonts w:ascii="Calibri" w:eastAsia="Calibri" w:hAnsi="Calibri" w:cs="Calibri"/>
          <w:b/>
          <w:sz w:val="22"/>
          <w:szCs w:val="22"/>
        </w:rPr>
        <w:t xml:space="preserve">Descripción </w:t>
      </w:r>
    </w:p>
    <w:p w14:paraId="164F601D" w14:textId="124E6372" w:rsidR="008152B4" w:rsidRPr="00D45FAF" w:rsidRDefault="00D45FAF" w:rsidP="0034498F">
      <w:pPr>
        <w:spacing w:after="120"/>
        <w:jc w:val="both"/>
        <w:rPr>
          <w:sz w:val="22"/>
          <w:szCs w:val="22"/>
        </w:rPr>
      </w:pPr>
      <w:r w:rsidRPr="00092BA4">
        <w:rPr>
          <w:rFonts w:ascii="Calibri" w:eastAsia="Calibri" w:hAnsi="Calibri" w:cs="Calibri"/>
          <w:bCs/>
          <w:sz w:val="22"/>
          <w:szCs w:val="22"/>
        </w:rPr>
        <w:t>La</w:t>
      </w:r>
      <w:r w:rsidR="00602304" w:rsidRPr="00092BA4">
        <w:rPr>
          <w:rFonts w:ascii="Calibri" w:eastAsia="Calibri" w:hAnsi="Calibri" w:cs="Calibri"/>
          <w:bCs/>
          <w:sz w:val="22"/>
          <w:szCs w:val="22"/>
        </w:rPr>
        <w:t xml:space="preserve"> iniciativa </w:t>
      </w:r>
      <w:r w:rsidRPr="00092BA4">
        <w:rPr>
          <w:rFonts w:ascii="Calibri" w:eastAsia="Calibri" w:hAnsi="Calibri" w:cs="Calibri"/>
          <w:bCs/>
          <w:sz w:val="22"/>
          <w:szCs w:val="22"/>
        </w:rPr>
        <w:t>“</w:t>
      </w:r>
      <w:r w:rsidR="00AF6618" w:rsidRPr="00092BA4">
        <w:rPr>
          <w:rFonts w:ascii="Calibri" w:eastAsia="Calibri" w:hAnsi="Calibri" w:cs="Calibri"/>
          <w:bCs/>
          <w:sz w:val="22"/>
          <w:szCs w:val="22"/>
        </w:rPr>
        <w:t xml:space="preserve">Plataforma </w:t>
      </w:r>
      <w:r w:rsidRPr="00092BA4">
        <w:rPr>
          <w:rFonts w:ascii="Calibri" w:eastAsia="Calibri" w:hAnsi="Calibri" w:cs="Calibri"/>
          <w:bCs/>
          <w:sz w:val="22"/>
          <w:szCs w:val="22"/>
        </w:rPr>
        <w:t xml:space="preserve">Rescate Ozama” </w:t>
      </w:r>
      <w:r w:rsidR="00602304" w:rsidRPr="00092BA4">
        <w:rPr>
          <w:rFonts w:ascii="Calibri" w:eastAsia="Calibri" w:hAnsi="Calibri" w:cs="Calibri"/>
          <w:bCs/>
          <w:sz w:val="22"/>
          <w:szCs w:val="22"/>
        </w:rPr>
        <w:t>pretende promover la gestión integral y sostenible de</w:t>
      </w:r>
      <w:r w:rsidR="00602304" w:rsidRPr="00092BA4">
        <w:rPr>
          <w:bCs/>
          <w:sz w:val="22"/>
          <w:szCs w:val="22"/>
        </w:rPr>
        <w:t xml:space="preserve"> plásticos</w:t>
      </w:r>
      <w:r w:rsidR="00602304" w:rsidRPr="00D45FAF">
        <w:rPr>
          <w:sz w:val="22"/>
          <w:szCs w:val="22"/>
        </w:rPr>
        <w:t xml:space="preserve"> y residuos en </w:t>
      </w:r>
      <w:r>
        <w:rPr>
          <w:sz w:val="22"/>
          <w:szCs w:val="22"/>
        </w:rPr>
        <w:t>los</w:t>
      </w:r>
      <w:r w:rsidR="00602304" w:rsidRPr="00D45FAF">
        <w:rPr>
          <w:sz w:val="22"/>
          <w:szCs w:val="22"/>
        </w:rPr>
        <w:t xml:space="preserve"> río</w:t>
      </w:r>
      <w:r>
        <w:rPr>
          <w:sz w:val="22"/>
          <w:szCs w:val="22"/>
        </w:rPr>
        <w:t>s</w:t>
      </w:r>
      <w:r w:rsidR="00602304" w:rsidRPr="00D45FAF">
        <w:rPr>
          <w:sz w:val="22"/>
          <w:szCs w:val="22"/>
        </w:rPr>
        <w:t xml:space="preserve"> Ozama</w:t>
      </w:r>
      <w:r>
        <w:rPr>
          <w:sz w:val="22"/>
          <w:szCs w:val="22"/>
        </w:rPr>
        <w:t xml:space="preserve"> e Isabela</w:t>
      </w:r>
      <w:r w:rsidR="00602304" w:rsidRPr="00D45FAF">
        <w:rPr>
          <w:sz w:val="22"/>
          <w:szCs w:val="22"/>
        </w:rPr>
        <w:t>, contribuyendo de este modo al avance en las metas de Producción y Consumo Sostenible de la República Dominicana</w:t>
      </w:r>
      <w:r w:rsidR="00F97BE4">
        <w:rPr>
          <w:sz w:val="22"/>
          <w:szCs w:val="22"/>
        </w:rPr>
        <w:t xml:space="preserve"> vinculadas a la Agenda 2030</w:t>
      </w:r>
      <w:r w:rsidR="00602304" w:rsidRPr="00D45FAF">
        <w:rPr>
          <w:sz w:val="22"/>
          <w:szCs w:val="22"/>
        </w:rPr>
        <w:t xml:space="preserve">. Con este propósito </w:t>
      </w:r>
      <w:r w:rsidR="008152B4" w:rsidRPr="00D45FAF">
        <w:rPr>
          <w:sz w:val="22"/>
          <w:szCs w:val="22"/>
        </w:rPr>
        <w:t xml:space="preserve">la iniciativa </w:t>
      </w:r>
      <w:r w:rsidR="00AF6618">
        <w:rPr>
          <w:sz w:val="22"/>
          <w:szCs w:val="22"/>
        </w:rPr>
        <w:t>establecerá</w:t>
      </w:r>
      <w:r w:rsidR="00602304" w:rsidRPr="00D45FAF">
        <w:rPr>
          <w:sz w:val="22"/>
          <w:szCs w:val="22"/>
        </w:rPr>
        <w:t xml:space="preserve"> y dinamizará la plataforma multiactor </w:t>
      </w:r>
      <w:r w:rsidR="008152B4" w:rsidRPr="00D45FAF">
        <w:rPr>
          <w:sz w:val="22"/>
          <w:szCs w:val="22"/>
        </w:rPr>
        <w:t>“</w:t>
      </w:r>
      <w:r w:rsidR="00602304" w:rsidRPr="00D45FAF">
        <w:rPr>
          <w:sz w:val="22"/>
          <w:szCs w:val="22"/>
        </w:rPr>
        <w:t>Rescate Ozama</w:t>
      </w:r>
      <w:r w:rsidR="008152B4" w:rsidRPr="00D45FAF">
        <w:rPr>
          <w:sz w:val="22"/>
          <w:szCs w:val="22"/>
        </w:rPr>
        <w:t>”</w:t>
      </w:r>
      <w:r w:rsidR="00602304" w:rsidRPr="00D45FAF">
        <w:rPr>
          <w:sz w:val="22"/>
          <w:szCs w:val="22"/>
        </w:rPr>
        <w:t xml:space="preserve"> y </w:t>
      </w:r>
      <w:r w:rsidR="008152B4" w:rsidRPr="00D45FAF">
        <w:rPr>
          <w:sz w:val="22"/>
          <w:szCs w:val="22"/>
        </w:rPr>
        <w:t>consolidará</w:t>
      </w:r>
      <w:r w:rsidR="00602304" w:rsidRPr="00D45FAF">
        <w:rPr>
          <w:sz w:val="22"/>
          <w:szCs w:val="22"/>
        </w:rPr>
        <w:t xml:space="preserve"> la operación del Interceptor 004 en el río Ozama, reduciendo así el volumen de plásticos que llega al Mar Caribe.</w:t>
      </w:r>
    </w:p>
    <w:p w14:paraId="28CDB8D6" w14:textId="77777777" w:rsidR="00BF4AC9" w:rsidRDefault="00BF4AC9" w:rsidP="00BF4AC9">
      <w:pPr>
        <w:pStyle w:val="ListParagraph"/>
        <w:ind w:left="1060"/>
        <w:jc w:val="both"/>
      </w:pPr>
    </w:p>
    <w:p w14:paraId="7A701B8D" w14:textId="798EF5F2" w:rsidR="00EC07E1" w:rsidRPr="00092BA4" w:rsidRDefault="00731E17" w:rsidP="00602304">
      <w:pPr>
        <w:spacing w:after="120"/>
        <w:jc w:val="both"/>
        <w:rPr>
          <w:rFonts w:ascii="Calibri" w:eastAsia="Calibri" w:hAnsi="Calibri" w:cs="Calibri"/>
          <w:b/>
          <w:sz w:val="22"/>
          <w:szCs w:val="22"/>
        </w:rPr>
      </w:pPr>
      <w:r w:rsidRPr="00092BA4">
        <w:rPr>
          <w:rFonts w:ascii="Calibri" w:eastAsia="Calibri" w:hAnsi="Calibri" w:cs="Calibri"/>
          <w:b/>
          <w:sz w:val="22"/>
          <w:szCs w:val="22"/>
        </w:rPr>
        <w:t>2.</w:t>
      </w:r>
      <w:r w:rsidR="00092BA4">
        <w:rPr>
          <w:rFonts w:ascii="Calibri" w:eastAsia="Calibri" w:hAnsi="Calibri" w:cs="Calibri"/>
          <w:b/>
          <w:sz w:val="22"/>
          <w:szCs w:val="22"/>
        </w:rPr>
        <w:t xml:space="preserve"> </w:t>
      </w:r>
      <w:r w:rsidR="00602304" w:rsidRPr="00092BA4">
        <w:rPr>
          <w:rFonts w:ascii="Calibri" w:eastAsia="Calibri" w:hAnsi="Calibri" w:cs="Calibri"/>
          <w:b/>
          <w:sz w:val="22"/>
          <w:szCs w:val="22"/>
        </w:rPr>
        <w:t xml:space="preserve">Impacto </w:t>
      </w:r>
      <w:r w:rsidR="00AF6618" w:rsidRPr="00092BA4">
        <w:rPr>
          <w:rFonts w:ascii="Calibri" w:eastAsia="Calibri" w:hAnsi="Calibri" w:cs="Calibri"/>
          <w:b/>
          <w:sz w:val="22"/>
          <w:szCs w:val="22"/>
        </w:rPr>
        <w:t xml:space="preserve">de los residuos </w:t>
      </w:r>
      <w:r w:rsidR="00602304" w:rsidRPr="00092BA4">
        <w:rPr>
          <w:rFonts w:ascii="Calibri" w:eastAsia="Calibri" w:hAnsi="Calibri" w:cs="Calibri"/>
          <w:b/>
          <w:sz w:val="22"/>
          <w:szCs w:val="22"/>
        </w:rPr>
        <w:t>sobre Río Ozama y el Mar Caribe</w:t>
      </w:r>
    </w:p>
    <w:p w14:paraId="7E1AFBD8" w14:textId="2976699D" w:rsidR="00602304" w:rsidRPr="007415C6" w:rsidRDefault="00602304" w:rsidP="00602304">
      <w:pPr>
        <w:spacing w:after="120"/>
        <w:jc w:val="both"/>
        <w:rPr>
          <w:rFonts w:ascii="Calibri" w:eastAsia="Calibri" w:hAnsi="Calibri" w:cs="Calibri"/>
          <w:sz w:val="22"/>
          <w:szCs w:val="22"/>
        </w:rPr>
      </w:pPr>
      <w:r w:rsidRPr="007415C6">
        <w:rPr>
          <w:rFonts w:ascii="Calibri" w:eastAsia="Calibri" w:hAnsi="Calibri" w:cs="Calibri"/>
          <w:sz w:val="22"/>
          <w:szCs w:val="22"/>
        </w:rPr>
        <w:t>El río Ozama es la fuente de abastecimiento de agua potable más importante para la provincia de Santo Domingo, aportando el 60% del agua para consumo humano. Es el segundo río más caudaloso del país con un recorrido de 148 kilómetros, en una cuenca de 2.962,5 km</w:t>
      </w:r>
      <w:r w:rsidRPr="007415C6">
        <w:rPr>
          <w:rFonts w:ascii="Calibri" w:eastAsia="Calibri" w:hAnsi="Calibri" w:cs="Calibri"/>
          <w:sz w:val="22"/>
          <w:szCs w:val="22"/>
          <w:vertAlign w:val="superscript"/>
        </w:rPr>
        <w:t>2</w:t>
      </w:r>
      <w:r w:rsidRPr="007415C6">
        <w:rPr>
          <w:rFonts w:ascii="Calibri" w:eastAsia="Calibri" w:hAnsi="Calibri" w:cs="Calibri"/>
          <w:sz w:val="22"/>
          <w:szCs w:val="22"/>
        </w:rPr>
        <w:t xml:space="preserve"> donde habitan cerca de 2,5 millones de personas</w:t>
      </w:r>
      <w:r w:rsidRPr="007415C6">
        <w:rPr>
          <w:rStyle w:val="FootnoteReference"/>
          <w:rFonts w:ascii="Calibri" w:eastAsia="Calibri" w:hAnsi="Calibri" w:cs="Calibri"/>
          <w:sz w:val="22"/>
          <w:szCs w:val="22"/>
        </w:rPr>
        <w:footnoteReference w:id="1"/>
      </w:r>
      <w:r w:rsidRPr="007415C6">
        <w:rPr>
          <w:rFonts w:ascii="Calibri" w:eastAsia="Calibri" w:hAnsi="Calibri" w:cs="Calibri"/>
          <w:sz w:val="22"/>
          <w:szCs w:val="22"/>
        </w:rPr>
        <w:t>. El río Isabela es el principal afluente del río Ozama; nace en la loma El Pilón</w:t>
      </w:r>
      <w:r w:rsidR="00E8400D">
        <w:rPr>
          <w:rFonts w:ascii="Calibri" w:eastAsia="Calibri" w:hAnsi="Calibri" w:cs="Calibri"/>
          <w:sz w:val="22"/>
          <w:szCs w:val="22"/>
        </w:rPr>
        <w:t>, pasa al norte de la ciudad de Santo Domingo</w:t>
      </w:r>
      <w:r w:rsidRPr="007415C6">
        <w:rPr>
          <w:rFonts w:ascii="Calibri" w:eastAsia="Calibri" w:hAnsi="Calibri" w:cs="Calibri"/>
          <w:sz w:val="22"/>
          <w:szCs w:val="22"/>
        </w:rPr>
        <w:t xml:space="preserve"> </w:t>
      </w:r>
      <w:r w:rsidRPr="00E8400D">
        <w:rPr>
          <w:rFonts w:ascii="Calibri" w:eastAsia="Calibri" w:hAnsi="Calibri" w:cs="Calibri"/>
          <w:sz w:val="22"/>
          <w:szCs w:val="22"/>
        </w:rPr>
        <w:t>y abastece de agua potable al municipio de Villa Altagracia.</w:t>
      </w:r>
      <w:r w:rsidRPr="007415C6">
        <w:rPr>
          <w:rFonts w:ascii="Calibri" w:eastAsia="Calibri" w:hAnsi="Calibri" w:cs="Calibri"/>
          <w:sz w:val="22"/>
          <w:szCs w:val="22"/>
        </w:rPr>
        <w:t xml:space="preserve"> </w:t>
      </w:r>
    </w:p>
    <w:p w14:paraId="6C3C984F" w14:textId="686DF69B" w:rsidR="00602304" w:rsidRPr="007415C6" w:rsidRDefault="00D42E25" w:rsidP="00602304">
      <w:pPr>
        <w:spacing w:after="120"/>
        <w:rPr>
          <w:rFonts w:ascii="Calibri" w:eastAsia="Calibri" w:hAnsi="Calibri" w:cs="Calibri"/>
          <w:sz w:val="22"/>
          <w:szCs w:val="22"/>
        </w:rPr>
      </w:pPr>
      <w:r w:rsidRPr="007415C6">
        <w:rPr>
          <w:rFonts w:ascii="Calibri" w:eastAsia="Calibri" w:hAnsi="Calibri" w:cs="Calibri"/>
          <w:noProof/>
          <w:sz w:val="22"/>
          <w:szCs w:val="22"/>
        </w:rPr>
        <w:drawing>
          <wp:inline distT="0" distB="0" distL="0" distR="0" wp14:anchorId="5D9A91C4" wp14:editId="7A95BAEE">
            <wp:extent cx="4902980" cy="2350513"/>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14033" cy="2355812"/>
                    </a:xfrm>
                    <a:prstGeom prst="rect">
                      <a:avLst/>
                    </a:prstGeom>
                    <a:ln/>
                  </pic:spPr>
                </pic:pic>
              </a:graphicData>
            </a:graphic>
          </wp:inline>
        </w:drawing>
      </w:r>
    </w:p>
    <w:p w14:paraId="6BABFEDD" w14:textId="77777777" w:rsidR="00602304" w:rsidRPr="007415C6" w:rsidRDefault="00602304" w:rsidP="00602304">
      <w:pPr>
        <w:spacing w:after="120"/>
        <w:jc w:val="both"/>
        <w:rPr>
          <w:rFonts w:ascii="Calibri" w:eastAsia="Calibri" w:hAnsi="Calibri" w:cs="Calibri"/>
          <w:sz w:val="22"/>
          <w:szCs w:val="22"/>
        </w:rPr>
      </w:pPr>
      <w:r w:rsidRPr="007415C6">
        <w:rPr>
          <w:rFonts w:ascii="Calibri" w:eastAsia="Calibri" w:hAnsi="Calibri" w:cs="Calibri"/>
          <w:sz w:val="22"/>
          <w:szCs w:val="22"/>
        </w:rPr>
        <w:t xml:space="preserve">Según datos de The Ocean Cleanup (TOC), los Rio Ozama e Isabela se encuentran entre los 1.000 ríos más contaminados del planeta y entre los que poseen las peores condiciones de saneamiento en la cuenca del Caribe. La actividad industrial, agrícola y naval, así como el vertido de aguas servidas y desechos sólidos por parte de la población urbana en sus márgenes y a través del sistema de alcantarillado, son las principales fuentes de contaminación de ambos ríos y señalan, en su conjunto, la deficiente gestión del territorio y la insostenibilidad de las prácticas de producción y consumo de sus habitantes.  </w:t>
      </w:r>
    </w:p>
    <w:p w14:paraId="405D6157" w14:textId="77777777" w:rsidR="00602304" w:rsidRPr="007415C6" w:rsidRDefault="00602304" w:rsidP="00602304">
      <w:pPr>
        <w:spacing w:after="120"/>
        <w:jc w:val="both"/>
        <w:rPr>
          <w:rFonts w:ascii="Calibri" w:eastAsia="Calibri" w:hAnsi="Calibri" w:cs="Calibri"/>
          <w:sz w:val="22"/>
          <w:szCs w:val="22"/>
        </w:rPr>
      </w:pPr>
      <w:r w:rsidRPr="007415C6">
        <w:rPr>
          <w:rFonts w:ascii="Calibri" w:eastAsia="Calibri" w:hAnsi="Calibri" w:cs="Calibri"/>
          <w:sz w:val="22"/>
          <w:szCs w:val="22"/>
        </w:rPr>
        <w:t xml:space="preserve">Las muestras tomadas en diferentes estudios sobre el Rio Ozama indican valores de contaminación por encima de los máximos permisibles para fines recreativos o de conservación de la vida en el rio de acuerdo con la normativa dominicana. El fondo de ambos ríos presenta </w:t>
      </w:r>
      <w:r w:rsidRPr="007415C6">
        <w:rPr>
          <w:rFonts w:ascii="Calibri" w:eastAsia="Calibri" w:hAnsi="Calibri" w:cs="Calibri"/>
          <w:sz w:val="22"/>
          <w:szCs w:val="22"/>
        </w:rPr>
        <w:lastRenderedPageBreak/>
        <w:t>una acumulación considerable de sedimentos orgánicos y metálicos, lo cual se traduce en un bajo nivel de oxígeno disuelto en las aguas</w:t>
      </w:r>
      <w:r w:rsidRPr="007415C6">
        <w:rPr>
          <w:rStyle w:val="FootnoteReference"/>
          <w:rFonts w:ascii="Calibri" w:eastAsia="Calibri" w:hAnsi="Calibri" w:cs="Calibri"/>
          <w:sz w:val="22"/>
          <w:szCs w:val="22"/>
        </w:rPr>
        <w:footnoteReference w:id="2"/>
      </w:r>
      <w:r w:rsidRPr="007415C6">
        <w:rPr>
          <w:rFonts w:ascii="Calibri" w:eastAsia="Calibri" w:hAnsi="Calibri" w:cs="Calibri"/>
          <w:sz w:val="22"/>
          <w:szCs w:val="22"/>
        </w:rPr>
        <w:t xml:space="preserve">. </w:t>
      </w:r>
    </w:p>
    <w:p w14:paraId="596C2696" w14:textId="77777777" w:rsidR="00602304" w:rsidRDefault="00602304" w:rsidP="00602304">
      <w:pPr>
        <w:spacing w:after="120"/>
        <w:jc w:val="both"/>
        <w:rPr>
          <w:rFonts w:ascii="Calibri" w:eastAsia="Calibri" w:hAnsi="Calibri" w:cs="Calibri"/>
        </w:rPr>
      </w:pPr>
      <w:r w:rsidRPr="007415C6">
        <w:rPr>
          <w:rFonts w:ascii="Calibri" w:eastAsia="Calibri" w:hAnsi="Calibri" w:cs="Calibri"/>
          <w:sz w:val="22"/>
          <w:szCs w:val="22"/>
        </w:rPr>
        <w:t>A las consecuencias de la contaminación del Rio Ozama sobre el propio rio y sobre los habitantes de sus riveras, se añade el efecto sobre el Mar Caribe que genera el vertido constante de sus aguas contaminadas. Por su impacto en los ecosistemas marinos, la reducción de los residuos plásticos en la corriente contaminante supone uno de los principales desafíos en la gestión de la cuenca del Ozama. Según el Modelo Mundial de Ríos desarrollado por TOC, se estima que a través del río Ozama entran en el océano cada año alrededor de 2.933 toneladas de plástico. Los datos recogidos en las primeras investigaciones directas desarrolladas sobre el rio muestran que los residuos plásticos están compuestos mayoritariamente por plásticos blandos (43%), plásticos de espuma (31%) y plástico tipo PET (13). Estos datos no solo muestran la necesidad de incidir en la reducción de la presencia de plásticos en el rio, sino el potencial que existe para reintroducir estos residuos en el ciclo de producción y consumo</w:t>
      </w:r>
      <w:r w:rsidRPr="00AF377C">
        <w:rPr>
          <w:rFonts w:ascii="Calibri" w:eastAsia="Calibri" w:hAnsi="Calibri" w:cs="Calibri"/>
        </w:rPr>
        <w:t>.</w:t>
      </w:r>
      <w:r w:rsidRPr="00AF377C">
        <w:t xml:space="preserve"> </w:t>
      </w:r>
    </w:p>
    <w:p w14:paraId="1972912B" w14:textId="77777777" w:rsidR="00EC07E1" w:rsidRDefault="00EC07E1" w:rsidP="003977D4">
      <w:pPr>
        <w:jc w:val="both"/>
      </w:pPr>
    </w:p>
    <w:p w14:paraId="4CE1C08C" w14:textId="45D88FC2" w:rsidR="00EC07E1" w:rsidRPr="00092BA4" w:rsidRDefault="00731E17" w:rsidP="00092BA4">
      <w:pPr>
        <w:spacing w:after="120"/>
        <w:jc w:val="both"/>
        <w:rPr>
          <w:rFonts w:ascii="Calibri" w:eastAsia="Calibri" w:hAnsi="Calibri" w:cs="Calibri"/>
          <w:b/>
          <w:sz w:val="22"/>
          <w:szCs w:val="22"/>
        </w:rPr>
      </w:pPr>
      <w:r w:rsidRPr="00092BA4">
        <w:rPr>
          <w:rFonts w:ascii="Calibri" w:eastAsia="Calibri" w:hAnsi="Calibri" w:cs="Calibri"/>
          <w:b/>
          <w:sz w:val="22"/>
          <w:szCs w:val="22"/>
        </w:rPr>
        <w:t>3.</w:t>
      </w:r>
      <w:r w:rsidR="00092BA4" w:rsidRPr="00092BA4">
        <w:rPr>
          <w:rFonts w:ascii="Calibri" w:eastAsia="Calibri" w:hAnsi="Calibri" w:cs="Calibri"/>
          <w:b/>
          <w:sz w:val="22"/>
          <w:szCs w:val="22"/>
        </w:rPr>
        <w:t xml:space="preserve"> </w:t>
      </w:r>
      <w:r w:rsidR="003977D4" w:rsidRPr="00092BA4">
        <w:rPr>
          <w:rFonts w:ascii="Calibri" w:eastAsia="Calibri" w:hAnsi="Calibri" w:cs="Calibri"/>
          <w:b/>
          <w:sz w:val="22"/>
          <w:szCs w:val="22"/>
        </w:rPr>
        <w:t xml:space="preserve">Marco general </w:t>
      </w:r>
      <w:r w:rsidRPr="00092BA4">
        <w:rPr>
          <w:rFonts w:ascii="Calibri" w:eastAsia="Calibri" w:hAnsi="Calibri" w:cs="Calibri"/>
          <w:b/>
          <w:sz w:val="22"/>
          <w:szCs w:val="22"/>
        </w:rPr>
        <w:t xml:space="preserve">de </w:t>
      </w:r>
      <w:r w:rsidR="003977D4" w:rsidRPr="00092BA4">
        <w:rPr>
          <w:rFonts w:ascii="Calibri" w:eastAsia="Calibri" w:hAnsi="Calibri" w:cs="Calibri"/>
          <w:b/>
          <w:sz w:val="22"/>
          <w:szCs w:val="22"/>
        </w:rPr>
        <w:t>La Plataforma Rescate Ozama</w:t>
      </w:r>
    </w:p>
    <w:p w14:paraId="37AC2664" w14:textId="2BF38F2E" w:rsidR="006B228B" w:rsidRDefault="00986875" w:rsidP="0034498F">
      <w:pPr>
        <w:spacing w:after="120"/>
        <w:jc w:val="both"/>
        <w:rPr>
          <w:rFonts w:ascii="Calibri" w:eastAsia="Calibri" w:hAnsi="Calibri" w:cs="Calibri"/>
          <w:sz w:val="22"/>
          <w:szCs w:val="22"/>
          <w:lang w:val="es-DO" w:eastAsia="es-DO"/>
        </w:rPr>
      </w:pPr>
      <w:r w:rsidRPr="00092BA4">
        <w:rPr>
          <w:rFonts w:ascii="Calibri" w:eastAsia="Calibri" w:hAnsi="Calibri" w:cs="Calibri"/>
          <w:bCs/>
          <w:sz w:val="22"/>
          <w:szCs w:val="22"/>
        </w:rPr>
        <w:t>El 26 de octubre de 2019, el Ministerio de la Presidencia de la República Dominicana, la</w:t>
      </w:r>
      <w:r w:rsidRPr="00986875">
        <w:rPr>
          <w:rFonts w:ascii="Calibri" w:eastAsia="Calibri" w:hAnsi="Calibri" w:cs="Calibri"/>
          <w:sz w:val="22"/>
          <w:szCs w:val="22"/>
          <w:lang w:val="es-DO" w:eastAsia="es-DO"/>
        </w:rPr>
        <w:t xml:space="preserve"> organización The Ocean Cleanup y el PNUD firmaron un Memorando de Entendimiento con el objetivo de impulsar una plataforma público–privada que posibilite la eliminación de plásticos y residuos de los principales ríos de la República Dominicana y asegure condiciones seguras de disposición final de los mismos, como estrategia para proteger los océanos, restaurar la salud de los ríos y garantizar condiciones sanitarias a la población que vive en torno a estos cuerpos de agua.</w:t>
      </w:r>
    </w:p>
    <w:p w14:paraId="74BB24BD" w14:textId="756C6443" w:rsidR="006B228B" w:rsidRPr="0034498F" w:rsidRDefault="006B228B" w:rsidP="0034498F">
      <w:pPr>
        <w:spacing w:after="120"/>
        <w:jc w:val="both"/>
        <w:rPr>
          <w:rFonts w:ascii="Calibri" w:eastAsia="Calibri" w:hAnsi="Calibri" w:cs="Calibri"/>
          <w:sz w:val="22"/>
          <w:szCs w:val="22"/>
        </w:rPr>
      </w:pPr>
      <w:r>
        <w:rPr>
          <w:rFonts w:ascii="Calibri" w:eastAsia="Calibri" w:hAnsi="Calibri" w:cs="Calibri"/>
          <w:sz w:val="22"/>
          <w:szCs w:val="22"/>
          <w:lang w:val="es-DO" w:eastAsia="es-DO"/>
        </w:rPr>
        <w:t>La plataforma creada por este acuerdo</w:t>
      </w:r>
      <w:r w:rsidR="00F97BE4">
        <w:rPr>
          <w:rFonts w:ascii="Calibri" w:eastAsia="Calibri" w:hAnsi="Calibri" w:cs="Calibri"/>
          <w:sz w:val="22"/>
          <w:szCs w:val="22"/>
          <w:lang w:val="es-DO" w:eastAsia="es-DO"/>
        </w:rPr>
        <w:t xml:space="preserve"> se emarca en el esfuerzo nacional para avanzar en el logro de los Objetivos de Desarrollo Sostenible </w:t>
      </w:r>
      <w:r w:rsidR="00DB0BC5">
        <w:rPr>
          <w:rFonts w:ascii="Calibri" w:eastAsia="Calibri" w:hAnsi="Calibri" w:cs="Calibri"/>
          <w:sz w:val="22"/>
          <w:szCs w:val="22"/>
          <w:lang w:val="es-DO" w:eastAsia="es-DO"/>
        </w:rPr>
        <w:t xml:space="preserve">(ODS) </w:t>
      </w:r>
      <w:r w:rsidR="00F97BE4">
        <w:rPr>
          <w:rFonts w:ascii="Calibri" w:eastAsia="Calibri" w:hAnsi="Calibri" w:cs="Calibri"/>
          <w:sz w:val="22"/>
          <w:szCs w:val="22"/>
          <w:lang w:val="es-DO" w:eastAsia="es-DO"/>
        </w:rPr>
        <w:t>y</w:t>
      </w:r>
      <w:r>
        <w:rPr>
          <w:rFonts w:ascii="Calibri" w:eastAsia="Calibri" w:hAnsi="Calibri" w:cs="Calibri"/>
          <w:sz w:val="22"/>
          <w:szCs w:val="22"/>
          <w:lang w:val="es-DO" w:eastAsia="es-DO"/>
        </w:rPr>
        <w:t xml:space="preserve"> </w:t>
      </w:r>
      <w:r w:rsidRPr="006B228B">
        <w:rPr>
          <w:rFonts w:ascii="Calibri" w:eastAsia="Calibri" w:hAnsi="Calibri" w:cs="Calibri"/>
          <w:sz w:val="22"/>
          <w:szCs w:val="22"/>
          <w:lang w:val="es-DO" w:eastAsia="es-DO"/>
        </w:rPr>
        <w:t>responde a la necesidad de abordar los problemas complejos de desarrollo</w:t>
      </w:r>
      <w:r>
        <w:rPr>
          <w:rFonts w:ascii="Calibri" w:eastAsia="Calibri" w:hAnsi="Calibri" w:cs="Calibri"/>
          <w:sz w:val="22"/>
          <w:szCs w:val="22"/>
          <w:lang w:val="es-DO" w:eastAsia="es-DO"/>
        </w:rPr>
        <w:t>, en este caso las gestión de residuos solidos,</w:t>
      </w:r>
      <w:r w:rsidRPr="006B228B">
        <w:rPr>
          <w:rFonts w:ascii="Calibri" w:eastAsia="Calibri" w:hAnsi="Calibri" w:cs="Calibri"/>
          <w:sz w:val="22"/>
          <w:szCs w:val="22"/>
          <w:lang w:val="es-DO" w:eastAsia="es-DO"/>
        </w:rPr>
        <w:t xml:space="preserve"> sumando la colaboración de una serie más amplia de interesados, impulsando alianzas y espacios de entendimiento </w:t>
      </w:r>
      <w:r w:rsidR="00F97BE4">
        <w:rPr>
          <w:rFonts w:ascii="Calibri" w:eastAsia="Calibri" w:hAnsi="Calibri" w:cs="Calibri"/>
          <w:sz w:val="22"/>
          <w:szCs w:val="22"/>
          <w:lang w:val="es-DO" w:eastAsia="es-DO"/>
        </w:rPr>
        <w:t xml:space="preserve">que faciliten la elaboración de visiones compartidas sobre los problemas y el desarrollo de </w:t>
      </w:r>
      <w:r w:rsidRPr="006B228B">
        <w:rPr>
          <w:rFonts w:ascii="Calibri" w:eastAsia="Calibri" w:hAnsi="Calibri" w:cs="Calibri"/>
          <w:sz w:val="22"/>
          <w:szCs w:val="22"/>
          <w:lang w:val="es-DO" w:eastAsia="es-DO"/>
        </w:rPr>
        <w:t>soluciones innovadoras.</w:t>
      </w:r>
      <w:r>
        <w:rPr>
          <w:rFonts w:ascii="Calibri" w:eastAsia="Calibri" w:hAnsi="Calibri" w:cs="Calibri"/>
          <w:sz w:val="22"/>
          <w:szCs w:val="22"/>
          <w:lang w:val="es-DO" w:eastAsia="es-DO"/>
        </w:rPr>
        <w:t xml:space="preserve"> </w:t>
      </w:r>
      <w:r w:rsidRPr="006B228B">
        <w:rPr>
          <w:rFonts w:ascii="Calibri" w:eastAsia="Calibri" w:hAnsi="Calibri" w:cs="Calibri"/>
          <w:sz w:val="22"/>
          <w:szCs w:val="22"/>
          <w:lang w:val="es-DO" w:eastAsia="es-DO"/>
        </w:rPr>
        <w:t xml:space="preserve">Siguiendo un ciclo continuo de generación de información/conocimiento – análisis compartido – acción, la plataforma pretende convertirse en un espacio amplio que catalice diferentes iniciativas para descontaminar los ríos Ozama e Isabela, </w:t>
      </w:r>
      <w:r>
        <w:rPr>
          <w:rFonts w:ascii="Calibri" w:eastAsia="Calibri" w:hAnsi="Calibri" w:cs="Calibri"/>
          <w:sz w:val="22"/>
          <w:szCs w:val="22"/>
          <w:lang w:val="es-DO" w:eastAsia="es-DO"/>
        </w:rPr>
        <w:t xml:space="preserve">impulsar </w:t>
      </w:r>
      <w:r w:rsidRPr="006B228B">
        <w:rPr>
          <w:rFonts w:ascii="Calibri" w:eastAsia="Calibri" w:hAnsi="Calibri" w:cs="Calibri"/>
          <w:sz w:val="22"/>
          <w:szCs w:val="22"/>
          <w:lang w:val="es-DO" w:eastAsia="es-DO"/>
        </w:rPr>
        <w:t xml:space="preserve">la </w:t>
      </w:r>
      <w:r>
        <w:rPr>
          <w:rFonts w:ascii="Calibri" w:eastAsia="Calibri" w:hAnsi="Calibri" w:cs="Calibri"/>
          <w:sz w:val="22"/>
          <w:szCs w:val="22"/>
          <w:lang w:val="es-DO" w:eastAsia="es-DO"/>
        </w:rPr>
        <w:t>G</w:t>
      </w:r>
      <w:r w:rsidRPr="006B228B">
        <w:rPr>
          <w:rFonts w:ascii="Calibri" w:eastAsia="Calibri" w:hAnsi="Calibri" w:cs="Calibri"/>
          <w:sz w:val="22"/>
          <w:szCs w:val="22"/>
          <w:lang w:val="es-DO" w:eastAsia="es-DO"/>
        </w:rPr>
        <w:t xml:space="preserve">estión </w:t>
      </w:r>
      <w:r w:rsidR="00E8400D">
        <w:rPr>
          <w:rFonts w:ascii="Calibri" w:eastAsia="Calibri" w:hAnsi="Calibri" w:cs="Calibri"/>
          <w:sz w:val="22"/>
          <w:szCs w:val="22"/>
          <w:lang w:val="es-DO" w:eastAsia="es-DO"/>
        </w:rPr>
        <w:t xml:space="preserve">Integral y </w:t>
      </w:r>
      <w:r>
        <w:rPr>
          <w:rFonts w:ascii="Calibri" w:eastAsia="Calibri" w:hAnsi="Calibri" w:cs="Calibri"/>
          <w:sz w:val="22"/>
          <w:szCs w:val="22"/>
          <w:lang w:val="es-DO" w:eastAsia="es-DO"/>
        </w:rPr>
        <w:t>Sostenible de Residuos Solidos</w:t>
      </w:r>
      <w:r w:rsidRPr="006B228B">
        <w:rPr>
          <w:rFonts w:ascii="Calibri" w:eastAsia="Calibri" w:hAnsi="Calibri" w:cs="Calibri"/>
          <w:sz w:val="22"/>
          <w:szCs w:val="22"/>
          <w:lang w:val="es-DO" w:eastAsia="es-DO"/>
        </w:rPr>
        <w:t xml:space="preserve">, con énfasis en los residuos plásticos, e incidir </w:t>
      </w:r>
      <w:r w:rsidR="00F97BE4">
        <w:rPr>
          <w:rFonts w:ascii="Calibri" w:eastAsia="Calibri" w:hAnsi="Calibri" w:cs="Calibri"/>
          <w:sz w:val="22"/>
          <w:szCs w:val="22"/>
          <w:lang w:val="es-DO" w:eastAsia="es-DO"/>
        </w:rPr>
        <w:t xml:space="preserve">tanto </w:t>
      </w:r>
      <w:r w:rsidRPr="006B228B">
        <w:rPr>
          <w:rFonts w:ascii="Calibri" w:eastAsia="Calibri" w:hAnsi="Calibri" w:cs="Calibri"/>
          <w:sz w:val="22"/>
          <w:szCs w:val="22"/>
          <w:lang w:val="es-DO" w:eastAsia="es-DO"/>
        </w:rPr>
        <w:t>en la apropiación del cuidado del rio por parte de los capitaleños</w:t>
      </w:r>
      <w:r w:rsidR="00F97BE4">
        <w:rPr>
          <w:rFonts w:ascii="Calibri" w:eastAsia="Calibri" w:hAnsi="Calibri" w:cs="Calibri"/>
          <w:sz w:val="22"/>
          <w:szCs w:val="22"/>
          <w:lang w:val="es-DO" w:eastAsia="es-DO"/>
        </w:rPr>
        <w:t>, como</w:t>
      </w:r>
      <w:r w:rsidRPr="006B228B">
        <w:rPr>
          <w:rFonts w:ascii="Calibri" w:eastAsia="Calibri" w:hAnsi="Calibri" w:cs="Calibri"/>
          <w:sz w:val="22"/>
          <w:szCs w:val="22"/>
          <w:lang w:val="es-DO" w:eastAsia="es-DO"/>
        </w:rPr>
        <w:t xml:space="preserve"> </w:t>
      </w:r>
      <w:r w:rsidRPr="0034498F">
        <w:rPr>
          <w:rFonts w:ascii="Calibri" w:eastAsia="Calibri" w:hAnsi="Calibri" w:cs="Calibri"/>
          <w:sz w:val="22"/>
          <w:szCs w:val="22"/>
        </w:rPr>
        <w:t>en la generación de pautas sociales de consumo más sostenibles.</w:t>
      </w:r>
      <w:r w:rsidR="00EA0DF6" w:rsidRPr="0034498F">
        <w:rPr>
          <w:rFonts w:ascii="Calibri" w:eastAsia="Calibri" w:hAnsi="Calibri" w:cs="Calibri"/>
          <w:sz w:val="22"/>
          <w:szCs w:val="22"/>
        </w:rPr>
        <w:t xml:space="preserve"> </w:t>
      </w:r>
    </w:p>
    <w:p w14:paraId="57F24482" w14:textId="043B1090" w:rsidR="00E8400D" w:rsidRPr="0034498F" w:rsidRDefault="00E8400D" w:rsidP="0034498F">
      <w:pPr>
        <w:spacing w:after="120"/>
        <w:jc w:val="both"/>
        <w:rPr>
          <w:rFonts w:ascii="Calibri" w:eastAsia="Calibri" w:hAnsi="Calibri" w:cs="Calibri"/>
          <w:sz w:val="22"/>
          <w:szCs w:val="22"/>
        </w:rPr>
      </w:pPr>
    </w:p>
    <w:p w14:paraId="029C701F" w14:textId="607B68B0" w:rsidR="00F97BE4" w:rsidRPr="00092BA4" w:rsidRDefault="00092BA4" w:rsidP="00092BA4">
      <w:pPr>
        <w:spacing w:after="120"/>
        <w:jc w:val="both"/>
        <w:rPr>
          <w:rFonts w:ascii="Calibri" w:eastAsia="Calibri" w:hAnsi="Calibri" w:cs="Calibri"/>
          <w:b/>
          <w:sz w:val="22"/>
          <w:szCs w:val="22"/>
        </w:rPr>
      </w:pPr>
      <w:r w:rsidRPr="00092BA4">
        <w:rPr>
          <w:rFonts w:ascii="Calibri" w:eastAsia="Calibri" w:hAnsi="Calibri" w:cs="Calibri"/>
          <w:b/>
          <w:sz w:val="22"/>
          <w:szCs w:val="22"/>
        </w:rPr>
        <w:t>4</w:t>
      </w:r>
      <w:r w:rsidR="00E8400D" w:rsidRPr="00092BA4">
        <w:rPr>
          <w:rFonts w:ascii="Calibri" w:eastAsia="Calibri" w:hAnsi="Calibri" w:cs="Calibri"/>
          <w:b/>
          <w:sz w:val="22"/>
          <w:szCs w:val="22"/>
        </w:rPr>
        <w:t>.</w:t>
      </w:r>
      <w:r w:rsidRPr="00092BA4">
        <w:rPr>
          <w:rFonts w:ascii="Calibri" w:eastAsia="Calibri" w:hAnsi="Calibri" w:cs="Calibri"/>
          <w:b/>
          <w:sz w:val="22"/>
          <w:szCs w:val="22"/>
        </w:rPr>
        <w:t xml:space="preserve"> </w:t>
      </w:r>
      <w:r w:rsidR="00E8400D" w:rsidRPr="00092BA4">
        <w:rPr>
          <w:rFonts w:ascii="Calibri" w:eastAsia="Calibri" w:hAnsi="Calibri" w:cs="Calibri"/>
          <w:b/>
          <w:sz w:val="22"/>
          <w:szCs w:val="22"/>
        </w:rPr>
        <w:t xml:space="preserve">Acciones de </w:t>
      </w:r>
      <w:r w:rsidR="000E6EE9" w:rsidRPr="00092BA4">
        <w:rPr>
          <w:rFonts w:ascii="Calibri" w:eastAsia="Calibri" w:hAnsi="Calibri" w:cs="Calibri"/>
          <w:b/>
          <w:sz w:val="22"/>
          <w:szCs w:val="22"/>
        </w:rPr>
        <w:t>L</w:t>
      </w:r>
      <w:r w:rsidR="00E8400D" w:rsidRPr="00092BA4">
        <w:rPr>
          <w:rFonts w:ascii="Calibri" w:eastAsia="Calibri" w:hAnsi="Calibri" w:cs="Calibri"/>
          <w:b/>
          <w:sz w:val="22"/>
          <w:szCs w:val="22"/>
        </w:rPr>
        <w:t>a Plataforma Rescate Ozama</w:t>
      </w:r>
    </w:p>
    <w:p w14:paraId="0171A8C0" w14:textId="77777777" w:rsidR="00F97BE4" w:rsidRPr="00D45FAF" w:rsidRDefault="00F97BE4" w:rsidP="00092BA4">
      <w:pPr>
        <w:spacing w:after="120"/>
        <w:jc w:val="both"/>
        <w:rPr>
          <w:sz w:val="22"/>
          <w:szCs w:val="22"/>
        </w:rPr>
      </w:pPr>
      <w:r w:rsidRPr="00092BA4">
        <w:rPr>
          <w:rFonts w:ascii="Calibri" w:eastAsia="Calibri" w:hAnsi="Calibri" w:cs="Calibri"/>
          <w:bCs/>
          <w:sz w:val="22"/>
          <w:szCs w:val="22"/>
        </w:rPr>
        <w:t xml:space="preserve">Desde un enfoque integral y sostenible, la Plataforma Rescate Ozama impulsará alianzas para la </w:t>
      </w:r>
      <w:r w:rsidRPr="00092BA4">
        <w:rPr>
          <w:bCs/>
          <w:sz w:val="22"/>
          <w:szCs w:val="22"/>
        </w:rPr>
        <w:t>gestión</w:t>
      </w:r>
      <w:r w:rsidRPr="00D45FAF">
        <w:rPr>
          <w:sz w:val="22"/>
          <w:szCs w:val="22"/>
        </w:rPr>
        <w:t xml:space="preserve"> integral y sostenible de los residuos en todas las etapas, desde su generación hasta su reaprovechamiento o disposición final. A tal fin se implementarán las siguientes acciones:</w:t>
      </w:r>
    </w:p>
    <w:p w14:paraId="00638859" w14:textId="77777777" w:rsidR="00F97BE4" w:rsidRPr="00D45FAF" w:rsidRDefault="00F97BE4" w:rsidP="00F97BE4">
      <w:pPr>
        <w:jc w:val="both"/>
        <w:rPr>
          <w:sz w:val="22"/>
          <w:szCs w:val="22"/>
        </w:rPr>
      </w:pPr>
    </w:p>
    <w:p w14:paraId="05727376" w14:textId="00564702" w:rsidR="00F97BE4" w:rsidRPr="00D45FAF" w:rsidRDefault="00F97BE4" w:rsidP="00F97BE4">
      <w:pPr>
        <w:pStyle w:val="ListParagraph"/>
        <w:numPr>
          <w:ilvl w:val="0"/>
          <w:numId w:val="10"/>
        </w:numPr>
        <w:jc w:val="both"/>
        <w:rPr>
          <w:sz w:val="22"/>
          <w:szCs w:val="22"/>
        </w:rPr>
      </w:pPr>
      <w:r w:rsidRPr="00D45FAF">
        <w:rPr>
          <w:sz w:val="22"/>
          <w:szCs w:val="22"/>
        </w:rPr>
        <w:t xml:space="preserve">Promover la cultura de producción y consumo sostenible, a fin de </w:t>
      </w:r>
      <w:r w:rsidR="000E6EE9">
        <w:rPr>
          <w:sz w:val="22"/>
          <w:szCs w:val="22"/>
        </w:rPr>
        <w:t>reducir el volumen</w:t>
      </w:r>
      <w:r w:rsidRPr="00D45FAF">
        <w:rPr>
          <w:sz w:val="22"/>
          <w:szCs w:val="22"/>
        </w:rPr>
        <w:t xml:space="preserve"> </w:t>
      </w:r>
      <w:r w:rsidR="000E6EE9">
        <w:rPr>
          <w:sz w:val="22"/>
          <w:szCs w:val="22"/>
        </w:rPr>
        <w:t xml:space="preserve">de </w:t>
      </w:r>
      <w:r w:rsidRPr="00D45FAF">
        <w:rPr>
          <w:sz w:val="22"/>
          <w:szCs w:val="22"/>
        </w:rPr>
        <w:t xml:space="preserve">plásticos y </w:t>
      </w:r>
      <w:r w:rsidR="000E6EE9">
        <w:rPr>
          <w:sz w:val="22"/>
          <w:szCs w:val="22"/>
        </w:rPr>
        <w:t xml:space="preserve">otros </w:t>
      </w:r>
      <w:r w:rsidRPr="00D45FAF">
        <w:rPr>
          <w:sz w:val="22"/>
          <w:szCs w:val="22"/>
        </w:rPr>
        <w:t xml:space="preserve">residuos </w:t>
      </w:r>
      <w:r w:rsidR="000E6EE9">
        <w:rPr>
          <w:sz w:val="22"/>
          <w:szCs w:val="22"/>
        </w:rPr>
        <w:t>dispuestos en</w:t>
      </w:r>
      <w:r w:rsidRPr="00D45FAF">
        <w:rPr>
          <w:sz w:val="22"/>
          <w:szCs w:val="22"/>
        </w:rPr>
        <w:t xml:space="preserve"> los ríos y océanos.</w:t>
      </w:r>
    </w:p>
    <w:p w14:paraId="12C42C87" w14:textId="77777777" w:rsidR="00F97BE4" w:rsidRPr="00D45FAF" w:rsidRDefault="00F97BE4" w:rsidP="00F97BE4">
      <w:pPr>
        <w:pStyle w:val="ListParagraph"/>
        <w:numPr>
          <w:ilvl w:val="0"/>
          <w:numId w:val="10"/>
        </w:numPr>
        <w:jc w:val="both"/>
        <w:rPr>
          <w:sz w:val="22"/>
          <w:szCs w:val="22"/>
        </w:rPr>
      </w:pPr>
      <w:r w:rsidRPr="00D45FAF">
        <w:rPr>
          <w:sz w:val="22"/>
          <w:szCs w:val="22"/>
        </w:rPr>
        <w:t>Educar y concienciar a la ciudadanía en la reducción del consumo de plásticos y la disposición adecuada de los residuos, evitando que lleguen al río Ozama.</w:t>
      </w:r>
    </w:p>
    <w:p w14:paraId="0AECFD06" w14:textId="77777777" w:rsidR="00F97BE4" w:rsidRPr="00D45FAF" w:rsidRDefault="00F97BE4" w:rsidP="00F97BE4">
      <w:pPr>
        <w:pStyle w:val="ListParagraph"/>
        <w:numPr>
          <w:ilvl w:val="0"/>
          <w:numId w:val="10"/>
        </w:numPr>
        <w:jc w:val="both"/>
        <w:rPr>
          <w:sz w:val="22"/>
          <w:szCs w:val="22"/>
        </w:rPr>
      </w:pPr>
      <w:r w:rsidRPr="00D45FAF">
        <w:rPr>
          <w:sz w:val="22"/>
          <w:szCs w:val="22"/>
        </w:rPr>
        <w:lastRenderedPageBreak/>
        <w:t xml:space="preserve">Promover el desarrollo de soluciones de economía circular que reintegren los residuos plásticos en las cadenas de producción. </w:t>
      </w:r>
    </w:p>
    <w:p w14:paraId="40B3940F" w14:textId="000FDFAC" w:rsidR="00F97BE4" w:rsidRDefault="00F97BE4" w:rsidP="00F97BE4">
      <w:pPr>
        <w:pStyle w:val="ListParagraph"/>
        <w:numPr>
          <w:ilvl w:val="0"/>
          <w:numId w:val="10"/>
        </w:numPr>
        <w:jc w:val="both"/>
        <w:rPr>
          <w:sz w:val="22"/>
          <w:szCs w:val="22"/>
        </w:rPr>
      </w:pPr>
      <w:r w:rsidRPr="00D45FAF">
        <w:rPr>
          <w:sz w:val="22"/>
          <w:szCs w:val="22"/>
        </w:rPr>
        <w:t xml:space="preserve">Facilitar y articular el diálogo entre actores involucrados. </w:t>
      </w:r>
    </w:p>
    <w:p w14:paraId="4443D2AB" w14:textId="77777777" w:rsidR="00F97BE4" w:rsidRPr="0034498F" w:rsidRDefault="00F97BE4" w:rsidP="0034498F">
      <w:pPr>
        <w:pStyle w:val="ListParagraph"/>
        <w:numPr>
          <w:ilvl w:val="0"/>
          <w:numId w:val="10"/>
        </w:numPr>
        <w:jc w:val="both"/>
        <w:rPr>
          <w:sz w:val="22"/>
          <w:szCs w:val="22"/>
        </w:rPr>
      </w:pPr>
      <w:r w:rsidRPr="0034498F">
        <w:rPr>
          <w:sz w:val="22"/>
          <w:szCs w:val="22"/>
        </w:rPr>
        <w:t xml:space="preserve">Identificar alternativas para un destino final sostenible a los residuos y plásticos </w:t>
      </w:r>
      <w:r w:rsidRPr="0034498F">
        <w:rPr>
          <w:rFonts w:ascii="Calibri" w:eastAsia="Calibri" w:hAnsi="Calibri" w:cs="Calibri"/>
          <w:sz w:val="22"/>
          <w:szCs w:val="22"/>
        </w:rPr>
        <w:t>recolectados por el interceptor 004.</w:t>
      </w:r>
    </w:p>
    <w:p w14:paraId="0BE27F2D" w14:textId="6612B48B" w:rsidR="00462203" w:rsidRPr="0034498F" w:rsidRDefault="00462203" w:rsidP="0034498F">
      <w:pPr>
        <w:spacing w:after="120"/>
        <w:jc w:val="both"/>
        <w:rPr>
          <w:rFonts w:ascii="Calibri" w:eastAsia="Calibri" w:hAnsi="Calibri" w:cs="Calibri"/>
          <w:sz w:val="22"/>
          <w:szCs w:val="22"/>
        </w:rPr>
      </w:pPr>
    </w:p>
    <w:p w14:paraId="4E6D975F" w14:textId="34A12CE6" w:rsidR="00EC07E1" w:rsidRPr="00092BA4" w:rsidRDefault="00092BA4" w:rsidP="00092BA4">
      <w:pPr>
        <w:spacing w:after="120"/>
        <w:jc w:val="both"/>
        <w:rPr>
          <w:rFonts w:ascii="Calibri" w:eastAsia="Calibri" w:hAnsi="Calibri" w:cs="Calibri"/>
          <w:b/>
          <w:sz w:val="22"/>
          <w:szCs w:val="22"/>
        </w:rPr>
      </w:pPr>
      <w:r>
        <w:rPr>
          <w:b/>
          <w:bCs/>
          <w:sz w:val="22"/>
          <w:szCs w:val="22"/>
        </w:rPr>
        <w:t>5</w:t>
      </w:r>
      <w:r w:rsidR="00EC07E1" w:rsidRPr="00092BA4">
        <w:rPr>
          <w:rFonts w:ascii="Calibri" w:eastAsia="Calibri" w:hAnsi="Calibri" w:cs="Calibri"/>
          <w:b/>
          <w:sz w:val="22"/>
          <w:szCs w:val="22"/>
        </w:rPr>
        <w:t>. Enfoque de trabajo.</w:t>
      </w:r>
    </w:p>
    <w:p w14:paraId="0C965266" w14:textId="7FEB4064" w:rsidR="00D45FAF" w:rsidRPr="00D45FAF" w:rsidRDefault="00F97BE4" w:rsidP="0034498F">
      <w:pPr>
        <w:spacing w:after="120"/>
        <w:jc w:val="both"/>
        <w:rPr>
          <w:rFonts w:ascii="Calibri" w:eastAsia="Calibri" w:hAnsi="Calibri" w:cs="Calibri"/>
          <w:sz w:val="22"/>
          <w:szCs w:val="22"/>
          <w:lang w:val="es-DO" w:eastAsia="es-DO"/>
        </w:rPr>
      </w:pPr>
      <w:r w:rsidRPr="00092BA4">
        <w:rPr>
          <w:rFonts w:ascii="Calibri" w:eastAsia="Calibri" w:hAnsi="Calibri" w:cs="Calibri"/>
          <w:bCs/>
          <w:sz w:val="22"/>
          <w:szCs w:val="22"/>
        </w:rPr>
        <w:t>La iniciativa “Plataforma Rescate Ozama”</w:t>
      </w:r>
      <w:r w:rsidR="00D45FAF" w:rsidRPr="00D45FAF">
        <w:rPr>
          <w:rFonts w:ascii="Calibri" w:eastAsia="Calibri" w:hAnsi="Calibri" w:cs="Calibri"/>
          <w:bCs/>
          <w:sz w:val="22"/>
          <w:szCs w:val="22"/>
        </w:rPr>
        <w:t xml:space="preserve"> </w:t>
      </w:r>
      <w:r w:rsidR="00B6367D" w:rsidRPr="00092BA4">
        <w:rPr>
          <w:rFonts w:ascii="Calibri" w:eastAsia="Calibri" w:hAnsi="Calibri" w:cs="Calibri"/>
          <w:bCs/>
          <w:sz w:val="22"/>
          <w:szCs w:val="22"/>
        </w:rPr>
        <w:t>se desarrolla desde</w:t>
      </w:r>
      <w:r w:rsidR="00D45FAF" w:rsidRPr="00D45FAF">
        <w:rPr>
          <w:rFonts w:ascii="Calibri" w:eastAsia="Calibri" w:hAnsi="Calibri" w:cs="Calibri"/>
          <w:bCs/>
          <w:sz w:val="22"/>
          <w:szCs w:val="22"/>
        </w:rPr>
        <w:t xml:space="preserve"> el enfoque </w:t>
      </w:r>
      <w:r w:rsidR="00B6367D" w:rsidRPr="00092BA4">
        <w:rPr>
          <w:rFonts w:ascii="Calibri" w:eastAsia="Calibri" w:hAnsi="Calibri" w:cs="Calibri"/>
          <w:bCs/>
          <w:sz w:val="22"/>
          <w:szCs w:val="22"/>
        </w:rPr>
        <w:t xml:space="preserve">de </w:t>
      </w:r>
      <w:r w:rsidR="00D45FAF" w:rsidRPr="00D45FAF">
        <w:rPr>
          <w:rFonts w:ascii="Calibri" w:eastAsia="Calibri" w:hAnsi="Calibri" w:cs="Calibri"/>
          <w:bCs/>
          <w:sz w:val="22"/>
          <w:szCs w:val="22"/>
        </w:rPr>
        <w:t xml:space="preserve">Gestión </w:t>
      </w:r>
      <w:r w:rsidR="00B6367D" w:rsidRPr="00092BA4">
        <w:rPr>
          <w:rFonts w:ascii="Calibri" w:eastAsia="Calibri" w:hAnsi="Calibri" w:cs="Calibri"/>
          <w:bCs/>
          <w:sz w:val="22"/>
          <w:szCs w:val="22"/>
        </w:rPr>
        <w:t>Integral y</w:t>
      </w:r>
      <w:r w:rsidR="00B6367D" w:rsidRPr="00092BA4">
        <w:rPr>
          <w:bCs/>
          <w:sz w:val="22"/>
          <w:szCs w:val="22"/>
        </w:rPr>
        <w:t xml:space="preserve"> </w:t>
      </w:r>
      <w:r w:rsidR="00D45FAF" w:rsidRPr="00D45FAF">
        <w:rPr>
          <w:bCs/>
          <w:sz w:val="22"/>
          <w:szCs w:val="22"/>
        </w:rPr>
        <w:t>Sostenible de Residuos Solidos (G</w:t>
      </w:r>
      <w:r w:rsidR="00B6367D" w:rsidRPr="00092BA4">
        <w:rPr>
          <w:bCs/>
          <w:sz w:val="22"/>
          <w:szCs w:val="22"/>
        </w:rPr>
        <w:t>I</w:t>
      </w:r>
      <w:r w:rsidR="00D45FAF" w:rsidRPr="00D45FAF">
        <w:rPr>
          <w:bCs/>
          <w:sz w:val="22"/>
          <w:szCs w:val="22"/>
        </w:rPr>
        <w:t>SRS). Este enfoque busca transformar la gestión lineal de los</w:t>
      </w:r>
      <w:r w:rsidR="00D45FAF" w:rsidRPr="00D45FAF">
        <w:rPr>
          <w:sz w:val="22"/>
          <w:szCs w:val="22"/>
        </w:rPr>
        <w:t xml:space="preserve"> residuos por una gestión cíclica basada de la idea de Economía Circular. En la gestión lineal de residuos solidos, a la extracción de materias primas para la producción le sigue una secuencia de procesos (diseño de producto – fabricación – consumo – disposición del residuo-) que no reincorpora los residuos en la cadena de producción y consumo. En consecuencia, esta secuencia lineal genera el agotamiento de los recursos naturales y la acumulación de ingentes cantidades de residuos. Además de seguir una lógica insostenible en el tiempo, los impactos de </w:t>
      </w:r>
      <w:r w:rsidR="00D45FAF" w:rsidRPr="00D45FAF">
        <w:rPr>
          <w:rFonts w:ascii="Calibri" w:eastAsia="Calibri" w:hAnsi="Calibri" w:cs="Calibri"/>
          <w:sz w:val="22"/>
          <w:szCs w:val="22"/>
          <w:lang w:val="es-DO" w:eastAsia="es-DO"/>
        </w:rPr>
        <w:t xml:space="preserve">la gestión lineal de residuos solidos se asocian con graves problemas ambientales y sociales. </w:t>
      </w:r>
    </w:p>
    <w:p w14:paraId="7DE3DC42" w14:textId="3B28CA6A" w:rsidR="00D45FAF" w:rsidRPr="00D45FAF" w:rsidRDefault="00D45FAF" w:rsidP="0034498F">
      <w:pPr>
        <w:spacing w:after="120"/>
        <w:jc w:val="both"/>
        <w:rPr>
          <w:sz w:val="22"/>
          <w:szCs w:val="22"/>
        </w:rPr>
      </w:pPr>
      <w:r w:rsidRPr="00D45FAF">
        <w:rPr>
          <w:rFonts w:ascii="Calibri" w:eastAsia="Calibri" w:hAnsi="Calibri" w:cs="Calibri"/>
          <w:sz w:val="22"/>
          <w:szCs w:val="22"/>
          <w:lang w:val="es-DO" w:eastAsia="es-DO"/>
        </w:rPr>
        <w:t>Por el contrario, la G</w:t>
      </w:r>
      <w:r w:rsidR="00B6367D" w:rsidRPr="0034498F">
        <w:rPr>
          <w:rFonts w:ascii="Calibri" w:eastAsia="Calibri" w:hAnsi="Calibri" w:cs="Calibri"/>
          <w:sz w:val="22"/>
          <w:szCs w:val="22"/>
          <w:lang w:val="es-DO" w:eastAsia="es-DO"/>
        </w:rPr>
        <w:t>I</w:t>
      </w:r>
      <w:r w:rsidRPr="00D45FAF">
        <w:rPr>
          <w:rFonts w:ascii="Calibri" w:eastAsia="Calibri" w:hAnsi="Calibri" w:cs="Calibri"/>
          <w:sz w:val="22"/>
          <w:szCs w:val="22"/>
          <w:lang w:val="es-DO" w:eastAsia="es-DO"/>
        </w:rPr>
        <w:t>SRS se enmarca dentro de una lógica de Economía Circular en la que se</w:t>
      </w:r>
      <w:r w:rsidRPr="00D45FAF">
        <w:rPr>
          <w:sz w:val="22"/>
          <w:szCs w:val="22"/>
        </w:rPr>
        <w:t xml:space="preserve"> establece una secuencia cíclica de procesos que persigue reducir la utilización de recursos naturales, reincorporar en la cadena de producción la mayor cantidad de residuos y minimizar la cantidad de residuos finalmente dispuestos. El ciclo de la G</w:t>
      </w:r>
      <w:r w:rsidR="00B6367D">
        <w:rPr>
          <w:sz w:val="22"/>
          <w:szCs w:val="22"/>
        </w:rPr>
        <w:t>I</w:t>
      </w:r>
      <w:r w:rsidRPr="00D45FAF">
        <w:rPr>
          <w:sz w:val="22"/>
          <w:szCs w:val="22"/>
        </w:rPr>
        <w:t xml:space="preserve">SRS se sintetiza en cuatro procesos: </w:t>
      </w:r>
    </w:p>
    <w:p w14:paraId="2985BB93" w14:textId="77777777" w:rsidR="00D45FAF" w:rsidRPr="00D45FAF" w:rsidRDefault="00D45FAF" w:rsidP="00DB0BC5">
      <w:pPr>
        <w:ind w:left="851"/>
        <w:rPr>
          <w:sz w:val="22"/>
          <w:szCs w:val="22"/>
        </w:rPr>
      </w:pPr>
    </w:p>
    <w:p w14:paraId="0A79C9F3" w14:textId="02D3CA33" w:rsidR="00D45FAF" w:rsidRPr="00D45FAF" w:rsidRDefault="00D45FAF" w:rsidP="00DB0BC5">
      <w:pPr>
        <w:ind w:left="851"/>
        <w:rPr>
          <w:sz w:val="22"/>
          <w:szCs w:val="22"/>
        </w:rPr>
      </w:pPr>
      <w:r w:rsidRPr="00D45FAF">
        <w:rPr>
          <w:noProof/>
          <w:sz w:val="22"/>
          <w:szCs w:val="22"/>
        </w:rPr>
        <mc:AlternateContent>
          <mc:Choice Requires="wps">
            <w:drawing>
              <wp:anchor distT="0" distB="0" distL="114300" distR="114300" simplePos="0" relativeHeight="251659264" behindDoc="0" locked="0" layoutInCell="1" allowOverlap="1" wp14:anchorId="3FB05E44" wp14:editId="5A5225AA">
                <wp:simplePos x="0" y="0"/>
                <wp:positionH relativeFrom="column">
                  <wp:posOffset>719560</wp:posOffset>
                </wp:positionH>
                <wp:positionV relativeFrom="paragraph">
                  <wp:posOffset>1278255</wp:posOffset>
                </wp:positionV>
                <wp:extent cx="569626" cy="0"/>
                <wp:effectExtent l="25400" t="63500" r="0" b="76200"/>
                <wp:wrapNone/>
                <wp:docPr id="2" name="Conector recto de flecha 2"/>
                <wp:cNvGraphicFramePr/>
                <a:graphic xmlns:a="http://schemas.openxmlformats.org/drawingml/2006/main">
                  <a:graphicData uri="http://schemas.microsoft.com/office/word/2010/wordprocessingShape">
                    <wps:wsp>
                      <wps:cNvCnPr/>
                      <wps:spPr>
                        <a:xfrm flipH="1">
                          <a:off x="0" y="0"/>
                          <a:ext cx="5696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9CD7FE" id="_x0000_t32" coordsize="21600,21600" o:spt="32" o:oned="t" path="m,l21600,21600e" filled="f">
                <v:path arrowok="t" fillok="f" o:connecttype="none"/>
                <o:lock v:ext="edit" shapetype="t"/>
              </v:shapetype>
              <v:shape id="Conector recto de flecha 2" o:spid="_x0000_s1026" type="#_x0000_t32" style="position:absolute;margin-left:56.65pt;margin-top:100.65pt;width:44.8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" strokecolor="#4472c4 [3204]" strokeweight=".5pt">
                <v:stroke endarrow="block" joinstyle="miter"/>
              </v:shape>
            </w:pict>
          </mc:Fallback>
        </mc:AlternateContent>
      </w:r>
      <w:r w:rsidR="00B6367D" w:rsidRPr="00081B8D">
        <w:rPr>
          <w:noProof/>
        </w:rPr>
        <w:drawing>
          <wp:inline distT="0" distB="0" distL="0" distR="0" wp14:anchorId="1200A94C" wp14:editId="40666200">
            <wp:extent cx="4174760" cy="2540833"/>
            <wp:effectExtent l="0" t="0" r="0" b="0"/>
            <wp:docPr id="4" name="Diagrama 4">
              <a:extLst xmlns:a="http://schemas.openxmlformats.org/drawingml/2006/main">
                <a:ext uri="{FF2B5EF4-FFF2-40B4-BE49-F238E27FC236}">
                  <a16:creationId xmlns:a16="http://schemas.microsoft.com/office/drawing/2014/main" id="{24E997FF-8304-BF4D-933A-5782CC9A111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D45370E" w14:textId="77777777" w:rsidR="00D45FAF" w:rsidRPr="00D45FAF" w:rsidRDefault="00D45FAF" w:rsidP="00D45FAF">
      <w:pPr>
        <w:rPr>
          <w:sz w:val="22"/>
          <w:szCs w:val="22"/>
        </w:rPr>
      </w:pPr>
    </w:p>
    <w:p w14:paraId="2B4E6BDB" w14:textId="21F2AE8A" w:rsidR="00D45FAF" w:rsidRDefault="00D45FAF" w:rsidP="00D42E25">
      <w:pPr>
        <w:jc w:val="both"/>
        <w:rPr>
          <w:sz w:val="22"/>
          <w:szCs w:val="22"/>
        </w:rPr>
      </w:pPr>
      <w:r w:rsidRPr="00D45FAF">
        <w:rPr>
          <w:sz w:val="22"/>
          <w:szCs w:val="22"/>
        </w:rPr>
        <w:t>Cada uno de estos procesos engloba diferentes subprocesos. Por ejemplo, enmarcado en “</w:t>
      </w:r>
      <w:r w:rsidRPr="00D45FAF">
        <w:rPr>
          <w:b/>
          <w:bCs/>
          <w:sz w:val="22"/>
          <w:szCs w:val="22"/>
        </w:rPr>
        <w:t>R</w:t>
      </w:r>
      <w:r w:rsidRPr="00D45FAF">
        <w:rPr>
          <w:sz w:val="22"/>
          <w:szCs w:val="22"/>
        </w:rPr>
        <w:t>educir” se encuentran subprocesos asociados a la producción, como el rediseño de empaques y productos o la utilización de materiales más duraderos, sostenibles y fáciles de degradar, así como subprocesos asociados al consumo como la eliminación o reducción del consumo de ciertos empaques o de ciertos materiales. Enmarcados bajo el proceso “</w:t>
      </w:r>
      <w:r w:rsidRPr="00D45FAF">
        <w:rPr>
          <w:b/>
          <w:bCs/>
          <w:sz w:val="22"/>
          <w:szCs w:val="22"/>
        </w:rPr>
        <w:t>R</w:t>
      </w:r>
      <w:r w:rsidRPr="00D45FAF">
        <w:rPr>
          <w:sz w:val="22"/>
          <w:szCs w:val="22"/>
        </w:rPr>
        <w:t>eusar” se encuentran subprocesos como la reparación o la reutilización de ciertos empaques o productos. Así mismo, bajo el proceso “</w:t>
      </w:r>
      <w:r w:rsidRPr="00D45FAF">
        <w:rPr>
          <w:b/>
          <w:bCs/>
          <w:sz w:val="22"/>
          <w:szCs w:val="22"/>
        </w:rPr>
        <w:t>R</w:t>
      </w:r>
      <w:r w:rsidRPr="00D45FAF">
        <w:rPr>
          <w:sz w:val="22"/>
          <w:szCs w:val="22"/>
        </w:rPr>
        <w:t>eciclar” se hallan subprocesos como la recolección</w:t>
      </w:r>
      <w:r w:rsidR="00B54DAA">
        <w:rPr>
          <w:sz w:val="22"/>
          <w:szCs w:val="22"/>
        </w:rPr>
        <w:t xml:space="preserve"> diferenciada</w:t>
      </w:r>
      <w:r w:rsidRPr="00D45FAF">
        <w:rPr>
          <w:sz w:val="22"/>
          <w:szCs w:val="22"/>
        </w:rPr>
        <w:t xml:space="preserve">, </w:t>
      </w:r>
      <w:r w:rsidR="00B54DAA">
        <w:rPr>
          <w:sz w:val="22"/>
          <w:szCs w:val="22"/>
        </w:rPr>
        <w:t>la clasificación</w:t>
      </w:r>
      <w:r w:rsidRPr="00D45FAF">
        <w:rPr>
          <w:sz w:val="22"/>
          <w:szCs w:val="22"/>
        </w:rPr>
        <w:t xml:space="preserve">, la valoración y recuperación de materiales que se reincorporarán al proceso productivo. </w:t>
      </w:r>
      <w:r w:rsidR="00E8400D">
        <w:rPr>
          <w:sz w:val="22"/>
          <w:szCs w:val="22"/>
        </w:rPr>
        <w:t>Finalmente</w:t>
      </w:r>
      <w:r w:rsidR="00B54DAA">
        <w:rPr>
          <w:sz w:val="22"/>
          <w:szCs w:val="22"/>
        </w:rPr>
        <w:t>,</w:t>
      </w:r>
      <w:r w:rsidRPr="00D45FAF">
        <w:rPr>
          <w:sz w:val="22"/>
          <w:szCs w:val="22"/>
        </w:rPr>
        <w:t xml:space="preserve"> el proceso “</w:t>
      </w:r>
      <w:r w:rsidRPr="00D45FAF">
        <w:rPr>
          <w:b/>
          <w:bCs/>
          <w:sz w:val="22"/>
          <w:szCs w:val="22"/>
        </w:rPr>
        <w:t>D</w:t>
      </w:r>
      <w:r w:rsidRPr="00D45FAF">
        <w:rPr>
          <w:sz w:val="22"/>
          <w:szCs w:val="22"/>
        </w:rPr>
        <w:t>isponer bien” enmarca subprocesos como el correcto acopio, transporte, y disposición final bajo criterios ambientales y sociales</w:t>
      </w:r>
      <w:r w:rsidR="00E8400D">
        <w:rPr>
          <w:sz w:val="22"/>
          <w:szCs w:val="22"/>
        </w:rPr>
        <w:t xml:space="preserve"> de los </w:t>
      </w:r>
      <w:r w:rsidR="00B54DAA">
        <w:rPr>
          <w:sz w:val="22"/>
          <w:szCs w:val="22"/>
        </w:rPr>
        <w:t>residuos</w:t>
      </w:r>
      <w:r w:rsidR="00E8400D">
        <w:rPr>
          <w:sz w:val="22"/>
          <w:szCs w:val="22"/>
        </w:rPr>
        <w:t xml:space="preserve"> que no pueden ser reintegrados en la cadena de producción</w:t>
      </w:r>
      <w:r w:rsidRPr="00D45FAF">
        <w:rPr>
          <w:sz w:val="22"/>
          <w:szCs w:val="22"/>
        </w:rPr>
        <w:t>.</w:t>
      </w:r>
    </w:p>
    <w:p w14:paraId="761EAFE2" w14:textId="77777777" w:rsidR="0034498F" w:rsidRPr="00D45FAF" w:rsidRDefault="0034498F" w:rsidP="00D42E25">
      <w:pPr>
        <w:jc w:val="both"/>
        <w:rPr>
          <w:sz w:val="22"/>
          <w:szCs w:val="22"/>
        </w:rPr>
      </w:pPr>
    </w:p>
    <w:p w14:paraId="79EBBC26" w14:textId="44286BF0" w:rsidR="00D45FAF" w:rsidRPr="00D45FAF" w:rsidRDefault="00D45FAF" w:rsidP="0034498F">
      <w:pPr>
        <w:spacing w:after="120"/>
        <w:jc w:val="both"/>
        <w:rPr>
          <w:rFonts w:ascii="Calibri" w:eastAsia="Calibri" w:hAnsi="Calibri" w:cs="Calibri"/>
          <w:sz w:val="22"/>
          <w:szCs w:val="22"/>
          <w:lang w:val="es-DO" w:eastAsia="es-DO"/>
        </w:rPr>
      </w:pPr>
      <w:r w:rsidRPr="00D45FAF">
        <w:rPr>
          <w:sz w:val="22"/>
          <w:szCs w:val="22"/>
        </w:rPr>
        <w:t>El ciclo sostenible de la gestión de residuos no se da en el vacío. El desarrollo de procesos y subprocesos se produce en un contexto que favorece o no su establecimiento y avance. Desde el enfoque G</w:t>
      </w:r>
      <w:r w:rsidR="00B6367D">
        <w:rPr>
          <w:sz w:val="22"/>
          <w:szCs w:val="22"/>
        </w:rPr>
        <w:t>I</w:t>
      </w:r>
      <w:r w:rsidRPr="00D45FAF">
        <w:rPr>
          <w:sz w:val="22"/>
          <w:szCs w:val="22"/>
        </w:rPr>
        <w:t>SRS se tienen en cuenta un conjunto de dimensiones que permiten comprender y navegar dicho contexto. Estas dimensiones se denominan “dimensiones de influencia” y son c</w:t>
      </w:r>
      <w:r>
        <w:rPr>
          <w:sz w:val="22"/>
          <w:szCs w:val="22"/>
        </w:rPr>
        <w:t>uatro</w:t>
      </w:r>
      <w:r w:rsidRPr="00D45FAF">
        <w:rPr>
          <w:sz w:val="22"/>
          <w:szCs w:val="22"/>
        </w:rPr>
        <w:t xml:space="preserve">: Dimensión Económica; Dimensión Cultural; Dimensión Institucional; Dimensión Social. Estas dimensiones facilitan tanto el análisis de las circunstancias que impiden o facilitan el desarrollo de procesos, como la identificación de puntos de entrada (acciones – soluciones) y los impactos, deseados o imprevistos, de </w:t>
      </w:r>
      <w:r w:rsidR="00D42E25">
        <w:rPr>
          <w:sz w:val="22"/>
          <w:szCs w:val="22"/>
        </w:rPr>
        <w:t>la</w:t>
      </w:r>
      <w:r w:rsidRPr="00D45FAF">
        <w:rPr>
          <w:sz w:val="22"/>
          <w:szCs w:val="22"/>
        </w:rPr>
        <w:t xml:space="preserve"> intervención. No obstante, desde una visión sistémica, todas </w:t>
      </w:r>
      <w:r w:rsidR="00D42E25">
        <w:rPr>
          <w:sz w:val="22"/>
          <w:szCs w:val="22"/>
        </w:rPr>
        <w:t xml:space="preserve">se </w:t>
      </w:r>
      <w:r w:rsidRPr="00D45FAF">
        <w:rPr>
          <w:sz w:val="22"/>
          <w:szCs w:val="22"/>
        </w:rPr>
        <w:t xml:space="preserve">deben tener en cuenta para garantizar la viabilidad y sostenibilidad del </w:t>
      </w:r>
      <w:r w:rsidRPr="00D45FAF">
        <w:rPr>
          <w:rFonts w:ascii="Calibri" w:eastAsia="Calibri" w:hAnsi="Calibri" w:cs="Calibri"/>
          <w:sz w:val="22"/>
          <w:szCs w:val="22"/>
          <w:lang w:val="es-DO" w:eastAsia="es-DO"/>
        </w:rPr>
        <w:t xml:space="preserve">cambio </w:t>
      </w:r>
      <w:r w:rsidR="00D42E25" w:rsidRPr="0034498F">
        <w:rPr>
          <w:rFonts w:ascii="Calibri" w:eastAsia="Calibri" w:hAnsi="Calibri" w:cs="Calibri"/>
          <w:sz w:val="22"/>
          <w:szCs w:val="22"/>
          <w:lang w:val="es-DO" w:eastAsia="es-DO"/>
        </w:rPr>
        <w:t>deseado</w:t>
      </w:r>
      <w:r w:rsidRPr="00D45FAF">
        <w:rPr>
          <w:rFonts w:ascii="Calibri" w:eastAsia="Calibri" w:hAnsi="Calibri" w:cs="Calibri"/>
          <w:sz w:val="22"/>
          <w:szCs w:val="22"/>
          <w:lang w:val="es-DO" w:eastAsia="es-DO"/>
        </w:rPr>
        <w:t>.</w:t>
      </w:r>
    </w:p>
    <w:p w14:paraId="639E019A" w14:textId="117CF4DC" w:rsidR="00D45FAF" w:rsidRDefault="00D45FAF" w:rsidP="0034498F">
      <w:pPr>
        <w:spacing w:after="120"/>
        <w:jc w:val="both"/>
        <w:rPr>
          <w:sz w:val="22"/>
          <w:szCs w:val="22"/>
        </w:rPr>
      </w:pPr>
      <w:r w:rsidRPr="00D45FAF">
        <w:rPr>
          <w:rFonts w:ascii="Calibri" w:eastAsia="Calibri" w:hAnsi="Calibri" w:cs="Calibri"/>
          <w:sz w:val="22"/>
          <w:szCs w:val="22"/>
          <w:lang w:val="es-DO" w:eastAsia="es-DO"/>
        </w:rPr>
        <w:t>Finalmente, la integralidad del enfoque G</w:t>
      </w:r>
      <w:r w:rsidR="00B6367D" w:rsidRPr="0034498F">
        <w:rPr>
          <w:rFonts w:ascii="Calibri" w:eastAsia="Calibri" w:hAnsi="Calibri" w:cs="Calibri"/>
          <w:sz w:val="22"/>
          <w:szCs w:val="22"/>
          <w:lang w:val="es-DO" w:eastAsia="es-DO"/>
        </w:rPr>
        <w:t>I</w:t>
      </w:r>
      <w:r w:rsidRPr="00D45FAF">
        <w:rPr>
          <w:rFonts w:ascii="Calibri" w:eastAsia="Calibri" w:hAnsi="Calibri" w:cs="Calibri"/>
          <w:sz w:val="22"/>
          <w:szCs w:val="22"/>
          <w:lang w:val="es-DO" w:eastAsia="es-DO"/>
        </w:rPr>
        <w:t>SRS se completa identificando los “niveles de</w:t>
      </w:r>
      <w:r w:rsidRPr="00D45FAF">
        <w:rPr>
          <w:sz w:val="22"/>
          <w:szCs w:val="22"/>
        </w:rPr>
        <w:t xml:space="preserve"> transformación” que persigue una intervención determinada (individuo, sector/comunidad, ciudad, nación, global) y transversalizando en sus procesos tres componentes: comunicación, educación y generación de data.</w:t>
      </w:r>
    </w:p>
    <w:p w14:paraId="6A55C272" w14:textId="77777777" w:rsidR="00D42E25" w:rsidRDefault="00D42E25" w:rsidP="00D45FAF">
      <w:pPr>
        <w:rPr>
          <w:sz w:val="22"/>
          <w:szCs w:val="22"/>
        </w:rPr>
      </w:pPr>
    </w:p>
    <w:p w14:paraId="6372FBD7" w14:textId="4B85192B" w:rsidR="00D42E25" w:rsidRPr="00092BA4" w:rsidRDefault="00092BA4" w:rsidP="00092BA4">
      <w:pPr>
        <w:spacing w:after="120"/>
        <w:jc w:val="both"/>
        <w:rPr>
          <w:b/>
          <w:bCs/>
          <w:sz w:val="22"/>
          <w:szCs w:val="22"/>
        </w:rPr>
      </w:pPr>
      <w:r>
        <w:rPr>
          <w:b/>
          <w:bCs/>
          <w:sz w:val="22"/>
          <w:szCs w:val="22"/>
        </w:rPr>
        <w:t>6</w:t>
      </w:r>
      <w:r w:rsidR="00D45FAF" w:rsidRPr="00092BA4">
        <w:rPr>
          <w:b/>
          <w:bCs/>
          <w:sz w:val="22"/>
          <w:szCs w:val="22"/>
        </w:rPr>
        <w:t xml:space="preserve">. Duración de la </w:t>
      </w:r>
      <w:r w:rsidR="0034498F">
        <w:rPr>
          <w:b/>
          <w:bCs/>
          <w:sz w:val="22"/>
          <w:szCs w:val="22"/>
        </w:rPr>
        <w:t>iniciativa</w:t>
      </w:r>
      <w:r w:rsidR="00D45FAF" w:rsidRPr="00092BA4">
        <w:rPr>
          <w:b/>
          <w:bCs/>
          <w:sz w:val="22"/>
          <w:szCs w:val="22"/>
        </w:rPr>
        <w:t>.</w:t>
      </w:r>
    </w:p>
    <w:p w14:paraId="157E6837" w14:textId="672F0F95" w:rsidR="00DB0BC5" w:rsidRDefault="00DB0BC5" w:rsidP="00092BA4">
      <w:pPr>
        <w:spacing w:after="120"/>
        <w:jc w:val="both"/>
      </w:pPr>
      <w:r w:rsidRPr="00092BA4">
        <w:rPr>
          <w:sz w:val="22"/>
          <w:szCs w:val="22"/>
        </w:rPr>
        <w:t>L</w:t>
      </w:r>
      <w:r w:rsidR="00E8400D" w:rsidRPr="00092BA4">
        <w:rPr>
          <w:sz w:val="22"/>
          <w:szCs w:val="22"/>
        </w:rPr>
        <w:t xml:space="preserve">a Plataforma Rescate Ozama </w:t>
      </w:r>
      <w:r w:rsidR="00D42E25" w:rsidRPr="00092BA4">
        <w:rPr>
          <w:sz w:val="22"/>
          <w:szCs w:val="22"/>
        </w:rPr>
        <w:t xml:space="preserve">se enmarca </w:t>
      </w:r>
      <w:r w:rsidRPr="00092BA4">
        <w:rPr>
          <w:sz w:val="22"/>
          <w:szCs w:val="22"/>
        </w:rPr>
        <w:t>en la denominada “década de acción”</w:t>
      </w:r>
      <w:r w:rsidR="00977EBD" w:rsidRPr="00092BA4">
        <w:rPr>
          <w:sz w:val="22"/>
          <w:szCs w:val="22"/>
        </w:rPr>
        <w:t>;</w:t>
      </w:r>
      <w:r w:rsidRPr="00092BA4">
        <w:rPr>
          <w:sz w:val="22"/>
          <w:szCs w:val="22"/>
        </w:rPr>
        <w:t xml:space="preserve"> el</w:t>
      </w:r>
      <w:r w:rsidRPr="00092BA4">
        <w:t xml:space="preserve"> esfuerzo</w:t>
      </w:r>
      <w:r>
        <w:t xml:space="preserve"> global para acelerar el logro de la agenda 2030</w:t>
      </w:r>
      <w:r w:rsidR="00D42E25">
        <w:t xml:space="preserve">. En este sentido, la plataforma se establece con una visión a largo plazo y una duración no inferior a los diez años. Adicionalmente, la permanencia del interceptor en el Ozama está inicialmente </w:t>
      </w:r>
      <w:r w:rsidR="00977EBD">
        <w:t>prevista</w:t>
      </w:r>
      <w:r w:rsidR="00D42E25">
        <w:t xml:space="preserve"> por tres años</w:t>
      </w:r>
      <w:r w:rsidR="00977EBD">
        <w:t>. Antes de la terminación de este periodo,</w:t>
      </w:r>
      <w:r w:rsidR="00D42E25">
        <w:t xml:space="preserve"> se </w:t>
      </w:r>
      <w:r w:rsidR="00977EBD">
        <w:t>realizará una evaluación de</w:t>
      </w:r>
      <w:r w:rsidR="00D42E25">
        <w:t xml:space="preserve"> su impacto y se estudiará la viabilidad y oportunidad de ampliar su operación.  </w:t>
      </w:r>
    </w:p>
    <w:p w14:paraId="2D70CCCA" w14:textId="77777777" w:rsidR="00DB0BC5" w:rsidRDefault="00DB0BC5" w:rsidP="00D42E25">
      <w:pPr>
        <w:jc w:val="both"/>
      </w:pPr>
      <w:r>
        <w:t xml:space="preserve"> </w:t>
      </w:r>
    </w:p>
    <w:p w14:paraId="77AF33BC" w14:textId="46B350B0" w:rsidR="00DB0BC5" w:rsidRPr="00792BB8" w:rsidRDefault="00DB0BC5" w:rsidP="00D42E25">
      <w:pPr>
        <w:jc w:val="both"/>
      </w:pPr>
    </w:p>
    <w:sectPr w:rsidR="00DB0BC5" w:rsidRPr="00792BB8" w:rsidSect="00D42E25">
      <w:headerReference w:type="default" r:id="rId14"/>
      <w:footerReference w:type="default" r:id="rId15"/>
      <w:pgSz w:w="11906" w:h="16838"/>
      <w:pgMar w:top="1739" w:right="1701" w:bottom="1417" w:left="1701" w:header="39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6E7A" w14:textId="77777777" w:rsidR="00FE4F01" w:rsidRDefault="00FE4F01" w:rsidP="00A6147F">
      <w:r>
        <w:separator/>
      </w:r>
    </w:p>
  </w:endnote>
  <w:endnote w:type="continuationSeparator" w:id="0">
    <w:p w14:paraId="62B10596" w14:textId="77777777" w:rsidR="00FE4F01" w:rsidRDefault="00FE4F01" w:rsidP="00A6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8E48" w14:textId="5933DFB8" w:rsidR="00792BB8" w:rsidRDefault="00792BB8">
    <w:pPr>
      <w:pStyle w:val="Footer"/>
    </w:pPr>
    <w:r w:rsidRPr="00792BB8">
      <w:rPr>
        <w:noProof/>
      </w:rPr>
      <w:drawing>
        <wp:anchor distT="0" distB="0" distL="114300" distR="114300" simplePos="0" relativeHeight="251659264" behindDoc="0" locked="0" layoutInCell="1" allowOverlap="1" wp14:anchorId="614AF06B" wp14:editId="2C6E864A">
          <wp:simplePos x="0" y="0"/>
          <wp:positionH relativeFrom="column">
            <wp:posOffset>4565291</wp:posOffset>
          </wp:positionH>
          <wp:positionV relativeFrom="paragraph">
            <wp:posOffset>88513</wp:posOffset>
          </wp:positionV>
          <wp:extent cx="490082" cy="490082"/>
          <wp:effectExtent l="0" t="0" r="5715" b="5715"/>
          <wp:wrapNone/>
          <wp:docPr id="7" name="Picture 6">
            <a:extLst xmlns:a="http://schemas.openxmlformats.org/drawingml/2006/main">
              <a:ext uri="{FF2B5EF4-FFF2-40B4-BE49-F238E27FC236}">
                <a16:creationId xmlns:a16="http://schemas.microsoft.com/office/drawing/2014/main" id="{8E83778D-3F2B-4C0D-9F46-52DCB21BA7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a:extLst>
                      <a:ext uri="{FF2B5EF4-FFF2-40B4-BE49-F238E27FC236}">
                        <a16:creationId xmlns:a16="http://schemas.microsoft.com/office/drawing/2014/main" id="{8E83778D-3F2B-4C0D-9F46-52DCB21BA73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4830" cy="4948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7CC7" w14:textId="77777777" w:rsidR="00FE4F01" w:rsidRDefault="00FE4F01" w:rsidP="00A6147F">
      <w:r>
        <w:separator/>
      </w:r>
    </w:p>
  </w:footnote>
  <w:footnote w:type="continuationSeparator" w:id="0">
    <w:p w14:paraId="363FE42B" w14:textId="77777777" w:rsidR="00FE4F01" w:rsidRDefault="00FE4F01" w:rsidP="00A6147F">
      <w:r>
        <w:continuationSeparator/>
      </w:r>
    </w:p>
  </w:footnote>
  <w:footnote w:id="1">
    <w:p w14:paraId="330A9E74" w14:textId="77777777" w:rsidR="00602304" w:rsidRPr="00FD2EE5" w:rsidRDefault="00602304" w:rsidP="00602304">
      <w:pPr>
        <w:pStyle w:val="FootnoteText"/>
        <w:rPr>
          <w:lang w:val="es-ES"/>
        </w:rPr>
      </w:pPr>
      <w:r w:rsidRPr="00FD2EE5">
        <w:rPr>
          <w:rStyle w:val="FootnoteReference"/>
          <w:rFonts w:asciiTheme="majorHAnsi" w:hAnsiTheme="majorHAnsi" w:cstheme="majorHAnsi"/>
          <w:szCs w:val="18"/>
        </w:rPr>
        <w:footnoteRef/>
      </w:r>
      <w:r w:rsidRPr="00FD2EE5">
        <w:rPr>
          <w:rFonts w:asciiTheme="majorHAnsi" w:hAnsiTheme="majorHAnsi" w:cstheme="majorHAnsi"/>
          <w:sz w:val="18"/>
          <w:szCs w:val="18"/>
        </w:rPr>
        <w:t xml:space="preserve"> </w:t>
      </w:r>
      <w:r w:rsidRPr="00FD2EE5">
        <w:rPr>
          <w:rFonts w:asciiTheme="majorHAnsi" w:eastAsia="Calibri" w:hAnsiTheme="majorHAnsi" w:cstheme="majorHAnsi"/>
          <w:color w:val="000000"/>
          <w:sz w:val="18"/>
          <w:szCs w:val="18"/>
        </w:rPr>
        <w:t>Información obtenida de: Proyecto restauración y manejo integral de las cuencas altas de los ríos Ozama y Haina Santo Domingo, Ministerio de Medio Ambiente y Recurso Naturales, Agosto 2011</w:t>
      </w:r>
      <w:r w:rsidRPr="00FD2EE5">
        <w:rPr>
          <w:rFonts w:asciiTheme="majorHAnsi" w:hAnsiTheme="majorHAnsi" w:cstheme="majorHAnsi"/>
          <w:sz w:val="18"/>
          <w:szCs w:val="18"/>
        </w:rPr>
        <w:t>.</w:t>
      </w:r>
    </w:p>
  </w:footnote>
  <w:footnote w:id="2">
    <w:p w14:paraId="396DA607" w14:textId="77777777" w:rsidR="00602304" w:rsidRPr="00FD2EE5" w:rsidRDefault="00602304" w:rsidP="00602304">
      <w:pPr>
        <w:pStyle w:val="FootnoteText"/>
        <w:rPr>
          <w:rFonts w:asciiTheme="majorHAnsi" w:hAnsiTheme="majorHAnsi" w:cstheme="majorHAnsi"/>
          <w:sz w:val="18"/>
          <w:szCs w:val="18"/>
          <w:lang w:val="es-ES"/>
        </w:rPr>
      </w:pPr>
      <w:r w:rsidRPr="00FD2EE5">
        <w:rPr>
          <w:rStyle w:val="FootnoteReference"/>
          <w:rFonts w:asciiTheme="majorHAnsi" w:hAnsiTheme="majorHAnsi" w:cstheme="majorHAnsi"/>
          <w:szCs w:val="18"/>
        </w:rPr>
        <w:footnoteRef/>
      </w:r>
      <w:r w:rsidRPr="00FD2EE5">
        <w:rPr>
          <w:rFonts w:asciiTheme="majorHAnsi" w:hAnsiTheme="majorHAnsi" w:cstheme="majorHAnsi"/>
          <w:sz w:val="18"/>
          <w:szCs w:val="18"/>
        </w:rPr>
        <w:t xml:space="preserve"> </w:t>
      </w:r>
      <w:r w:rsidRPr="00FD2EE5">
        <w:rPr>
          <w:rFonts w:asciiTheme="majorHAnsi" w:hAnsiTheme="majorHAnsi" w:cstheme="majorHAnsi"/>
          <w:sz w:val="18"/>
          <w:szCs w:val="18"/>
          <w:lang w:val="es-ES"/>
        </w:rPr>
        <w:t>Información obtenida de: Rio Ozama, Informe básico sobre puntos críticos y problemáticas de la contaminación en la cuenca med</w:t>
      </w:r>
      <w:r>
        <w:rPr>
          <w:rFonts w:asciiTheme="majorHAnsi" w:hAnsiTheme="majorHAnsi" w:cstheme="majorHAnsi"/>
          <w:sz w:val="18"/>
          <w:szCs w:val="18"/>
          <w:lang w:val="es-ES"/>
        </w:rPr>
        <w:t>i</w:t>
      </w:r>
      <w:r w:rsidRPr="00FD2EE5">
        <w:rPr>
          <w:rFonts w:asciiTheme="majorHAnsi" w:hAnsiTheme="majorHAnsi" w:cstheme="majorHAnsi"/>
          <w:sz w:val="18"/>
          <w:szCs w:val="18"/>
          <w:lang w:val="es-ES"/>
        </w:rPr>
        <w:t>a y baja del Rio Ozama e Isabela. Urbe. Santo Domingo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A6BB" w14:textId="6101EFF8" w:rsidR="00A6147F" w:rsidRDefault="00A6147F" w:rsidP="000F1816">
    <w:pPr>
      <w:pStyle w:val="Header"/>
      <w:tabs>
        <w:tab w:val="left" w:pos="660"/>
      </w:tabs>
      <w:ind w:right="-285"/>
      <w:jc w:val="right"/>
    </w:pPr>
    <w:r>
      <w:tab/>
    </w:r>
    <w:r>
      <w:tab/>
    </w:r>
    <w:r>
      <w:rPr>
        <w:noProof/>
      </w:rPr>
      <w:drawing>
        <wp:inline distT="0" distB="0" distL="0" distR="0" wp14:anchorId="50452104" wp14:editId="6437791E">
          <wp:extent cx="1838325" cy="4188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717" cy="432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346"/>
    <w:multiLevelType w:val="hybridMultilevel"/>
    <w:tmpl w:val="AB86C880"/>
    <w:lvl w:ilvl="0" w:tplc="A7723708">
      <w:numFmt w:val="bullet"/>
      <w:lvlText w:val="•"/>
      <w:lvlJc w:val="left"/>
      <w:pPr>
        <w:ind w:left="1060" w:hanging="70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BF1638"/>
    <w:multiLevelType w:val="multilevel"/>
    <w:tmpl w:val="27928C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635AB2"/>
    <w:multiLevelType w:val="hybridMultilevel"/>
    <w:tmpl w:val="3622250A"/>
    <w:lvl w:ilvl="0" w:tplc="A2F05C9C">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37F34"/>
    <w:multiLevelType w:val="hybridMultilevel"/>
    <w:tmpl w:val="6D12E0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C8A7E2A"/>
    <w:multiLevelType w:val="hybridMultilevel"/>
    <w:tmpl w:val="D38C3A7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0002A35"/>
    <w:multiLevelType w:val="hybridMultilevel"/>
    <w:tmpl w:val="D794DE92"/>
    <w:lvl w:ilvl="0" w:tplc="A7723708">
      <w:numFmt w:val="bullet"/>
      <w:lvlText w:val="•"/>
      <w:lvlJc w:val="left"/>
      <w:pPr>
        <w:ind w:left="1060" w:hanging="70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43948AF"/>
    <w:multiLevelType w:val="hybridMultilevel"/>
    <w:tmpl w:val="57EA31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AD30AF6"/>
    <w:multiLevelType w:val="hybridMultilevel"/>
    <w:tmpl w:val="6C847904"/>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EBA4AF5"/>
    <w:multiLevelType w:val="multilevel"/>
    <w:tmpl w:val="AF4470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E165E"/>
    <w:multiLevelType w:val="hybridMultilevel"/>
    <w:tmpl w:val="16EC9BC0"/>
    <w:lvl w:ilvl="0" w:tplc="4F26CC1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9"/>
  </w:num>
  <w:num w:numId="6">
    <w:abstractNumId w:val="1"/>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BA"/>
    <w:rsid w:val="00001EB1"/>
    <w:rsid w:val="00024BEA"/>
    <w:rsid w:val="00024D16"/>
    <w:rsid w:val="0007105D"/>
    <w:rsid w:val="00092BA4"/>
    <w:rsid w:val="00097AA8"/>
    <w:rsid w:val="000E6EE9"/>
    <w:rsid w:val="000F1816"/>
    <w:rsid w:val="00107EC4"/>
    <w:rsid w:val="00123BB9"/>
    <w:rsid w:val="0015203F"/>
    <w:rsid w:val="00174319"/>
    <w:rsid w:val="001778E4"/>
    <w:rsid w:val="0027114B"/>
    <w:rsid w:val="002E4DE0"/>
    <w:rsid w:val="0034498F"/>
    <w:rsid w:val="003550C4"/>
    <w:rsid w:val="0035584E"/>
    <w:rsid w:val="00357B25"/>
    <w:rsid w:val="003977D4"/>
    <w:rsid w:val="003D6E72"/>
    <w:rsid w:val="00404C47"/>
    <w:rsid w:val="004119AD"/>
    <w:rsid w:val="00462203"/>
    <w:rsid w:val="0046312B"/>
    <w:rsid w:val="0047787A"/>
    <w:rsid w:val="004C3303"/>
    <w:rsid w:val="004D6CAA"/>
    <w:rsid w:val="005138AC"/>
    <w:rsid w:val="00525CCC"/>
    <w:rsid w:val="0053648D"/>
    <w:rsid w:val="005B54B9"/>
    <w:rsid w:val="005B749D"/>
    <w:rsid w:val="005C05DD"/>
    <w:rsid w:val="00601274"/>
    <w:rsid w:val="00601761"/>
    <w:rsid w:val="00602304"/>
    <w:rsid w:val="00693ABA"/>
    <w:rsid w:val="00696D69"/>
    <w:rsid w:val="006B228B"/>
    <w:rsid w:val="007237F0"/>
    <w:rsid w:val="00731E17"/>
    <w:rsid w:val="00736113"/>
    <w:rsid w:val="007415C6"/>
    <w:rsid w:val="00782DE3"/>
    <w:rsid w:val="00783EC7"/>
    <w:rsid w:val="00792BB8"/>
    <w:rsid w:val="007A14C4"/>
    <w:rsid w:val="008152B4"/>
    <w:rsid w:val="00815343"/>
    <w:rsid w:val="008474A1"/>
    <w:rsid w:val="00866D94"/>
    <w:rsid w:val="008827B1"/>
    <w:rsid w:val="00897CED"/>
    <w:rsid w:val="008C28BE"/>
    <w:rsid w:val="008E3024"/>
    <w:rsid w:val="009032A1"/>
    <w:rsid w:val="00945C30"/>
    <w:rsid w:val="00977EBD"/>
    <w:rsid w:val="0098402C"/>
    <w:rsid w:val="00986875"/>
    <w:rsid w:val="009C7794"/>
    <w:rsid w:val="00A17470"/>
    <w:rsid w:val="00A36111"/>
    <w:rsid w:val="00A40105"/>
    <w:rsid w:val="00A418E1"/>
    <w:rsid w:val="00A56085"/>
    <w:rsid w:val="00A6147F"/>
    <w:rsid w:val="00AC496D"/>
    <w:rsid w:val="00AF6618"/>
    <w:rsid w:val="00B06A00"/>
    <w:rsid w:val="00B161DE"/>
    <w:rsid w:val="00B4686E"/>
    <w:rsid w:val="00B54DAA"/>
    <w:rsid w:val="00B6367D"/>
    <w:rsid w:val="00B76AB4"/>
    <w:rsid w:val="00B97C0A"/>
    <w:rsid w:val="00BC04CC"/>
    <w:rsid w:val="00BF4AC9"/>
    <w:rsid w:val="00C42545"/>
    <w:rsid w:val="00C719A5"/>
    <w:rsid w:val="00C825F9"/>
    <w:rsid w:val="00CB1269"/>
    <w:rsid w:val="00D42E25"/>
    <w:rsid w:val="00D45FAF"/>
    <w:rsid w:val="00D57A08"/>
    <w:rsid w:val="00D619F5"/>
    <w:rsid w:val="00D9064E"/>
    <w:rsid w:val="00D96D23"/>
    <w:rsid w:val="00DB0423"/>
    <w:rsid w:val="00DB0BC5"/>
    <w:rsid w:val="00DC1538"/>
    <w:rsid w:val="00E21B1E"/>
    <w:rsid w:val="00E47EAB"/>
    <w:rsid w:val="00E52947"/>
    <w:rsid w:val="00E641C3"/>
    <w:rsid w:val="00E71EB6"/>
    <w:rsid w:val="00E72B9F"/>
    <w:rsid w:val="00E8400D"/>
    <w:rsid w:val="00EA0DF6"/>
    <w:rsid w:val="00EA7FCE"/>
    <w:rsid w:val="00EC07E1"/>
    <w:rsid w:val="00F97BE4"/>
    <w:rsid w:val="00FE4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D188"/>
  <w15:chartTrackingRefBased/>
  <w15:docId w15:val="{A79F1212-80CC-3746-9701-7149512E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0D"/>
  </w:style>
  <w:style w:type="paragraph" w:styleId="Heading2">
    <w:name w:val="heading 2"/>
    <w:basedOn w:val="Normal"/>
    <w:next w:val="Normal"/>
    <w:link w:val="Heading2Char"/>
    <w:uiPriority w:val="1"/>
    <w:qFormat/>
    <w:rsid w:val="00601761"/>
    <w:pPr>
      <w:keepNext/>
      <w:spacing w:after="60"/>
      <w:ind w:left="720"/>
      <w:jc w:val="both"/>
      <w:outlineLvl w:val="1"/>
    </w:pPr>
    <w:rPr>
      <w:rFonts w:ascii="Arial Narrow" w:eastAsia="Times New Roman" w:hAnsi="Arial Narrow" w:cs="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s,P‡rrafo de lista"/>
    <w:basedOn w:val="Normal"/>
    <w:link w:val="ListParagraphChar"/>
    <w:uiPriority w:val="99"/>
    <w:qFormat/>
    <w:rsid w:val="003550C4"/>
    <w:pPr>
      <w:ind w:left="720"/>
      <w:contextualSpacing/>
    </w:pPr>
  </w:style>
  <w:style w:type="paragraph" w:styleId="Header">
    <w:name w:val="header"/>
    <w:basedOn w:val="Normal"/>
    <w:link w:val="HeaderChar"/>
    <w:uiPriority w:val="99"/>
    <w:unhideWhenUsed/>
    <w:rsid w:val="00A6147F"/>
    <w:pPr>
      <w:tabs>
        <w:tab w:val="center" w:pos="4419"/>
        <w:tab w:val="right" w:pos="8838"/>
      </w:tabs>
    </w:pPr>
  </w:style>
  <w:style w:type="character" w:customStyle="1" w:styleId="HeaderChar">
    <w:name w:val="Header Char"/>
    <w:basedOn w:val="DefaultParagraphFont"/>
    <w:link w:val="Header"/>
    <w:uiPriority w:val="99"/>
    <w:rsid w:val="00A6147F"/>
  </w:style>
  <w:style w:type="paragraph" w:styleId="Footer">
    <w:name w:val="footer"/>
    <w:basedOn w:val="Normal"/>
    <w:link w:val="FooterChar"/>
    <w:uiPriority w:val="99"/>
    <w:unhideWhenUsed/>
    <w:rsid w:val="00A6147F"/>
    <w:pPr>
      <w:tabs>
        <w:tab w:val="center" w:pos="4419"/>
        <w:tab w:val="right" w:pos="8838"/>
      </w:tabs>
    </w:pPr>
  </w:style>
  <w:style w:type="character" w:customStyle="1" w:styleId="FooterChar">
    <w:name w:val="Footer Char"/>
    <w:basedOn w:val="DefaultParagraphFont"/>
    <w:link w:val="Footer"/>
    <w:uiPriority w:val="99"/>
    <w:rsid w:val="00A6147F"/>
  </w:style>
  <w:style w:type="character" w:customStyle="1" w:styleId="Heading2Char">
    <w:name w:val="Heading 2 Char"/>
    <w:basedOn w:val="DefaultParagraphFont"/>
    <w:link w:val="Heading2"/>
    <w:uiPriority w:val="1"/>
    <w:rsid w:val="00601761"/>
    <w:rPr>
      <w:rFonts w:ascii="Arial Narrow" w:eastAsia="Times New Roman" w:hAnsi="Arial Narrow" w:cs="Times New Roman"/>
      <w:b/>
      <w:bCs/>
      <w:sz w:val="22"/>
      <w:lang w:val="en-GB"/>
    </w:rPr>
  </w:style>
  <w:style w:type="paragraph" w:styleId="FootnoteText">
    <w:name w:val="footnote text"/>
    <w:aliases w:val="ft,Car Car Car,Car Car Car Car Car,FA Fu,Geneva 9,Font: Geneva 9,Boston 10,f,single space,Texto nota pie Car Car,Texto nota pie Car Car Car,Texto nota pie IIRSA, Car Car,Car Car, Car, Car1 Car Car,Car,Car1 Car Car,Footnote,Footnotes"/>
    <w:basedOn w:val="Normal"/>
    <w:link w:val="FootnoteTextChar"/>
    <w:rsid w:val="00601761"/>
    <w:pPr>
      <w:widowControl w:val="0"/>
      <w:spacing w:after="60"/>
      <w:jc w:val="both"/>
    </w:pPr>
    <w:rPr>
      <w:rFonts w:ascii="Courier" w:eastAsia="Times New Roman" w:hAnsi="Courier" w:cs="Times New Roman"/>
      <w:sz w:val="22"/>
      <w:szCs w:val="20"/>
      <w:lang w:val="x-none" w:eastAsia="x-none"/>
    </w:rPr>
  </w:style>
  <w:style w:type="character" w:customStyle="1" w:styleId="FootnoteTextChar">
    <w:name w:val="Footnote Text Char"/>
    <w:aliases w:val="ft Char,Car Car Car Char,Car Car Car Car Car Char,FA Fu Char,Geneva 9 Char,Font: Geneva 9 Char,Boston 10 Char,f Char,single space Char,Texto nota pie Car Car Char,Texto nota pie Car Car Car Char,Texto nota pie IIRSA Char, Car Car Char"/>
    <w:basedOn w:val="DefaultParagraphFont"/>
    <w:link w:val="FootnoteText"/>
    <w:rsid w:val="00601761"/>
    <w:rPr>
      <w:rFonts w:ascii="Courier" w:eastAsia="Times New Roman" w:hAnsi="Courier" w:cs="Times New Roman"/>
      <w:sz w:val="22"/>
      <w:szCs w:val="20"/>
      <w:lang w:val="x-none" w:eastAsia="x-none"/>
    </w:rPr>
  </w:style>
  <w:style w:type="character" w:styleId="FootnoteReference">
    <w:name w:val="footnote reference"/>
    <w:aliases w:val="BVI fnr,16 Point,Superscript 6 Point,Liste à puces Car,Appel note de bas de p. Car,Appel note de bas de p. Car Car Char Car Car Car Car Car,Appel note de bas de p. Char Car Car Car Car Char Car Car Car Car Car,Car1, BVI fnr,Ref"/>
    <w:rsid w:val="00601761"/>
    <w:rPr>
      <w:rFonts w:ascii="Arial" w:hAnsi="Arial"/>
      <w:sz w:val="18"/>
      <w:vertAlign w:val="superscript"/>
    </w:rPr>
  </w:style>
  <w:style w:type="character" w:customStyle="1" w:styleId="ListParagraphChar">
    <w:name w:val="List Paragraph Char"/>
    <w:aliases w:val="List Paragraph1 Char,Bullets Char,P‡rrafo de lista Char"/>
    <w:link w:val="ListParagraph"/>
    <w:uiPriority w:val="99"/>
    <w:locked/>
    <w:rsid w:val="00601761"/>
  </w:style>
  <w:style w:type="paragraph" w:styleId="BalloonText">
    <w:name w:val="Balloon Text"/>
    <w:basedOn w:val="Normal"/>
    <w:link w:val="BalloonTextChar"/>
    <w:uiPriority w:val="99"/>
    <w:semiHidden/>
    <w:unhideWhenUsed/>
    <w:rsid w:val="004778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78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C70156-D09E-C244-B47B-503DE8D45975}" type="doc">
      <dgm:prSet loTypeId="urn:microsoft.com/office/officeart/2005/8/layout/cycle6" loCatId="" qsTypeId="urn:microsoft.com/office/officeart/2005/8/quickstyle/simple1" qsCatId="simple" csTypeId="urn:microsoft.com/office/officeart/2005/8/colors/accent1_2" csCatId="accent1" phldr="1"/>
      <dgm:spPr/>
      <dgm:t>
        <a:bodyPr/>
        <a:lstStyle/>
        <a:p>
          <a:endParaRPr lang="es-ES"/>
        </a:p>
      </dgm:t>
    </dgm:pt>
    <dgm:pt modelId="{CA3877AD-A879-874B-9A8E-760E2C1EF1A0}">
      <dgm:prSet phldrT="[Texto]" custT="1"/>
      <dgm:spPr>
        <a:solidFill>
          <a:srgbClr val="92D050"/>
        </a:solidFill>
      </dgm:spPr>
      <dgm:t>
        <a:bodyPr/>
        <a:lstStyle/>
        <a:p>
          <a:r>
            <a:rPr lang="es-ES" sz="1400" b="1" dirty="0"/>
            <a:t>R</a:t>
          </a:r>
          <a:r>
            <a:rPr lang="es-ES" sz="900" b="0" dirty="0"/>
            <a:t>educir</a:t>
          </a:r>
        </a:p>
      </dgm:t>
    </dgm:pt>
    <dgm:pt modelId="{FAB65AB8-722F-CD47-8E26-0189980DAB5C}" type="parTrans" cxnId="{D280F3BF-6CE2-D945-A1AD-0405C30CCA74}">
      <dgm:prSet/>
      <dgm:spPr/>
      <dgm:t>
        <a:bodyPr/>
        <a:lstStyle/>
        <a:p>
          <a:endParaRPr lang="es-ES"/>
        </a:p>
      </dgm:t>
    </dgm:pt>
    <dgm:pt modelId="{C5EC1E7C-63F4-2341-A573-C8546944C29B}" type="sibTrans" cxnId="{D280F3BF-6CE2-D945-A1AD-0405C30CCA74}">
      <dgm:prSet/>
      <dgm:spPr/>
      <dgm:t>
        <a:bodyPr/>
        <a:lstStyle/>
        <a:p>
          <a:endParaRPr lang="es-ES"/>
        </a:p>
      </dgm:t>
    </dgm:pt>
    <dgm:pt modelId="{109AFF2C-8E90-C447-AC15-FB103C7BDC28}">
      <dgm:prSet phldrT="[Texto]" custT="1"/>
      <dgm:spPr>
        <a:solidFill>
          <a:srgbClr val="92D050"/>
        </a:solidFill>
      </dgm:spPr>
      <dgm:t>
        <a:bodyPr/>
        <a:lstStyle/>
        <a:p>
          <a:r>
            <a:rPr lang="es-ES" sz="1400" b="1" dirty="0"/>
            <a:t>R</a:t>
          </a:r>
          <a:r>
            <a:rPr lang="es-ES" sz="900" b="0" dirty="0"/>
            <a:t>eusar</a:t>
          </a:r>
        </a:p>
      </dgm:t>
    </dgm:pt>
    <dgm:pt modelId="{3F587BB7-B0D4-DC42-AC38-8E3160036BE8}" type="parTrans" cxnId="{CB23B755-9BBC-DC49-A278-0157C425DC07}">
      <dgm:prSet/>
      <dgm:spPr/>
      <dgm:t>
        <a:bodyPr/>
        <a:lstStyle/>
        <a:p>
          <a:endParaRPr lang="es-ES"/>
        </a:p>
      </dgm:t>
    </dgm:pt>
    <dgm:pt modelId="{218546E0-3FFA-494D-AEA7-5A41BBA0DE3D}" type="sibTrans" cxnId="{CB23B755-9BBC-DC49-A278-0157C425DC07}">
      <dgm:prSet/>
      <dgm:spPr/>
      <dgm:t>
        <a:bodyPr/>
        <a:lstStyle/>
        <a:p>
          <a:endParaRPr lang="es-ES"/>
        </a:p>
      </dgm:t>
    </dgm:pt>
    <dgm:pt modelId="{C4DDBD2D-D12E-544F-8F12-7FA7A6E40209}">
      <dgm:prSet phldrT="[Texto]" custT="1"/>
      <dgm:spPr>
        <a:solidFill>
          <a:srgbClr val="92D050"/>
        </a:solidFill>
      </dgm:spPr>
      <dgm:t>
        <a:bodyPr/>
        <a:lstStyle/>
        <a:p>
          <a:r>
            <a:rPr lang="es-ES" sz="1400" b="1" dirty="0"/>
            <a:t>R</a:t>
          </a:r>
          <a:r>
            <a:rPr lang="es-ES" sz="900" b="0" dirty="0"/>
            <a:t>eciclar</a:t>
          </a:r>
        </a:p>
      </dgm:t>
    </dgm:pt>
    <dgm:pt modelId="{15E8884C-ECE6-B045-B60F-43FCB54A1B62}" type="parTrans" cxnId="{1C9B3E4A-DCC8-2D44-99B8-202DC915996F}">
      <dgm:prSet/>
      <dgm:spPr/>
      <dgm:t>
        <a:bodyPr/>
        <a:lstStyle/>
        <a:p>
          <a:endParaRPr lang="es-ES"/>
        </a:p>
      </dgm:t>
    </dgm:pt>
    <dgm:pt modelId="{92606963-B602-D845-8FD1-79502D55F62E}" type="sibTrans" cxnId="{1C9B3E4A-DCC8-2D44-99B8-202DC915996F}">
      <dgm:prSet/>
      <dgm:spPr/>
      <dgm:t>
        <a:bodyPr/>
        <a:lstStyle/>
        <a:p>
          <a:endParaRPr lang="es-ES"/>
        </a:p>
      </dgm:t>
    </dgm:pt>
    <dgm:pt modelId="{4C9BA8EE-0AE8-DF4A-8654-0F82E675B334}">
      <dgm:prSet phldrT="[Texto]" custT="1"/>
      <dgm:spPr>
        <a:solidFill>
          <a:srgbClr val="92D050"/>
        </a:solidFill>
      </dgm:spPr>
      <dgm:t>
        <a:bodyPr/>
        <a:lstStyle/>
        <a:p>
          <a:r>
            <a:rPr lang="es-ES" sz="1400" b="1" dirty="0"/>
            <a:t>+D</a:t>
          </a:r>
          <a:r>
            <a:rPr lang="es-ES" sz="900" b="0" dirty="0"/>
            <a:t>isponer bien</a:t>
          </a:r>
        </a:p>
      </dgm:t>
    </dgm:pt>
    <dgm:pt modelId="{DC781C83-320B-A34A-8AAA-9C7E1B3B3176}" type="parTrans" cxnId="{D0C5D2C8-5CC7-C242-8967-B3204AC0B0F0}">
      <dgm:prSet/>
      <dgm:spPr/>
      <dgm:t>
        <a:bodyPr/>
        <a:lstStyle/>
        <a:p>
          <a:endParaRPr lang="es-ES"/>
        </a:p>
      </dgm:t>
    </dgm:pt>
    <dgm:pt modelId="{7188C664-D02D-CA43-BE1D-0DEFD766C080}" type="sibTrans" cxnId="{D0C5D2C8-5CC7-C242-8967-B3204AC0B0F0}">
      <dgm:prSet/>
      <dgm:spPr/>
      <dgm:t>
        <a:bodyPr/>
        <a:lstStyle/>
        <a:p>
          <a:endParaRPr lang="es-ES"/>
        </a:p>
      </dgm:t>
    </dgm:pt>
    <dgm:pt modelId="{D13A4AB6-BCB8-E64C-B5E9-42BBE1C7B047}" type="pres">
      <dgm:prSet presAssocID="{EBC70156-D09E-C244-B47B-503DE8D45975}" presName="cycle" presStyleCnt="0">
        <dgm:presLayoutVars>
          <dgm:dir/>
          <dgm:resizeHandles val="exact"/>
        </dgm:presLayoutVars>
      </dgm:prSet>
      <dgm:spPr/>
    </dgm:pt>
    <dgm:pt modelId="{222ABD9A-F58C-294D-B5D8-85832399B19D}" type="pres">
      <dgm:prSet presAssocID="{CA3877AD-A879-874B-9A8E-760E2C1EF1A0}" presName="node" presStyleLbl="node1" presStyleIdx="0" presStyleCnt="4" custScaleX="78077" custScaleY="73879">
        <dgm:presLayoutVars>
          <dgm:bulletEnabled val="1"/>
        </dgm:presLayoutVars>
      </dgm:prSet>
      <dgm:spPr/>
    </dgm:pt>
    <dgm:pt modelId="{22EA5BB0-0E57-FA47-9648-8A8F91CDDA85}" type="pres">
      <dgm:prSet presAssocID="{CA3877AD-A879-874B-9A8E-760E2C1EF1A0}" presName="spNode" presStyleCnt="0"/>
      <dgm:spPr/>
    </dgm:pt>
    <dgm:pt modelId="{2DB60C91-FD24-6E47-B75D-B6C40F98D818}" type="pres">
      <dgm:prSet presAssocID="{C5EC1E7C-63F4-2341-A573-C8546944C29B}" presName="sibTrans" presStyleLbl="sibTrans1D1" presStyleIdx="0" presStyleCnt="4"/>
      <dgm:spPr/>
    </dgm:pt>
    <dgm:pt modelId="{C48CC92B-1B0C-334C-9D80-1FEF4C03F01B}" type="pres">
      <dgm:prSet presAssocID="{109AFF2C-8E90-C447-AC15-FB103C7BDC28}" presName="node" presStyleLbl="node1" presStyleIdx="1" presStyleCnt="4" custScaleX="78077" custScaleY="73879" custRadScaleRad="105095" custRadScaleInc="2123">
        <dgm:presLayoutVars>
          <dgm:bulletEnabled val="1"/>
        </dgm:presLayoutVars>
      </dgm:prSet>
      <dgm:spPr/>
    </dgm:pt>
    <dgm:pt modelId="{61F8F804-0B29-F04B-8A4D-FD30A70D4E2F}" type="pres">
      <dgm:prSet presAssocID="{109AFF2C-8E90-C447-AC15-FB103C7BDC28}" presName="spNode" presStyleCnt="0"/>
      <dgm:spPr/>
    </dgm:pt>
    <dgm:pt modelId="{6986A960-6BEA-D646-B7B5-CEA348F38348}" type="pres">
      <dgm:prSet presAssocID="{218546E0-3FFA-494D-AEA7-5A41BBA0DE3D}" presName="sibTrans" presStyleLbl="sibTrans1D1" presStyleIdx="1" presStyleCnt="4"/>
      <dgm:spPr/>
    </dgm:pt>
    <dgm:pt modelId="{DEA44637-4B0D-274E-A71B-3C94940755EC}" type="pres">
      <dgm:prSet presAssocID="{C4DDBD2D-D12E-544F-8F12-7FA7A6E40209}" presName="node" presStyleLbl="node1" presStyleIdx="2" presStyleCnt="4" custScaleX="78077" custScaleY="73879">
        <dgm:presLayoutVars>
          <dgm:bulletEnabled val="1"/>
        </dgm:presLayoutVars>
      </dgm:prSet>
      <dgm:spPr/>
    </dgm:pt>
    <dgm:pt modelId="{BE65F4DB-E530-CF47-8D24-36EAEC65CD43}" type="pres">
      <dgm:prSet presAssocID="{C4DDBD2D-D12E-544F-8F12-7FA7A6E40209}" presName="spNode" presStyleCnt="0"/>
      <dgm:spPr/>
    </dgm:pt>
    <dgm:pt modelId="{CF3568B9-A592-0C49-8D44-CB20ECF96035}" type="pres">
      <dgm:prSet presAssocID="{92606963-B602-D845-8FD1-79502D55F62E}" presName="sibTrans" presStyleLbl="sibTrans1D1" presStyleIdx="2" presStyleCnt="4"/>
      <dgm:spPr/>
    </dgm:pt>
    <dgm:pt modelId="{CC113CD3-228B-974A-90D9-52B789CB2F54}" type="pres">
      <dgm:prSet presAssocID="{4C9BA8EE-0AE8-DF4A-8654-0F82E675B334}" presName="node" presStyleLbl="node1" presStyleIdx="3" presStyleCnt="4" custScaleX="78077" custScaleY="73879" custRadScaleRad="103635">
        <dgm:presLayoutVars>
          <dgm:bulletEnabled val="1"/>
        </dgm:presLayoutVars>
      </dgm:prSet>
      <dgm:spPr/>
    </dgm:pt>
    <dgm:pt modelId="{58B6C4A5-F819-F947-962B-164E723C7C3B}" type="pres">
      <dgm:prSet presAssocID="{4C9BA8EE-0AE8-DF4A-8654-0F82E675B334}" presName="spNode" presStyleCnt="0"/>
      <dgm:spPr/>
    </dgm:pt>
    <dgm:pt modelId="{8CF414B0-5865-7140-B36F-8119D71782C0}" type="pres">
      <dgm:prSet presAssocID="{7188C664-D02D-CA43-BE1D-0DEFD766C080}" presName="sibTrans" presStyleLbl="sibTrans1D1" presStyleIdx="3" presStyleCnt="4"/>
      <dgm:spPr/>
    </dgm:pt>
  </dgm:ptLst>
  <dgm:cxnLst>
    <dgm:cxn modelId="{59150E69-6A1F-D645-9762-0E345C5F16A7}" type="presOf" srcId="{218546E0-3FFA-494D-AEA7-5A41BBA0DE3D}" destId="{6986A960-6BEA-D646-B7B5-CEA348F38348}" srcOrd="0" destOrd="0" presId="urn:microsoft.com/office/officeart/2005/8/layout/cycle6"/>
    <dgm:cxn modelId="{1C9B3E4A-DCC8-2D44-99B8-202DC915996F}" srcId="{EBC70156-D09E-C244-B47B-503DE8D45975}" destId="{C4DDBD2D-D12E-544F-8F12-7FA7A6E40209}" srcOrd="2" destOrd="0" parTransId="{15E8884C-ECE6-B045-B60F-43FCB54A1B62}" sibTransId="{92606963-B602-D845-8FD1-79502D55F62E}"/>
    <dgm:cxn modelId="{A7536A74-329E-B84D-8521-872CBBA0ABE6}" type="presOf" srcId="{EBC70156-D09E-C244-B47B-503DE8D45975}" destId="{D13A4AB6-BCB8-E64C-B5E9-42BBE1C7B047}" srcOrd="0" destOrd="0" presId="urn:microsoft.com/office/officeart/2005/8/layout/cycle6"/>
    <dgm:cxn modelId="{CB23B755-9BBC-DC49-A278-0157C425DC07}" srcId="{EBC70156-D09E-C244-B47B-503DE8D45975}" destId="{109AFF2C-8E90-C447-AC15-FB103C7BDC28}" srcOrd="1" destOrd="0" parTransId="{3F587BB7-B0D4-DC42-AC38-8E3160036BE8}" sibTransId="{218546E0-3FFA-494D-AEA7-5A41BBA0DE3D}"/>
    <dgm:cxn modelId="{E5C59F58-2364-5D48-8C4C-A6CDE305003D}" type="presOf" srcId="{109AFF2C-8E90-C447-AC15-FB103C7BDC28}" destId="{C48CC92B-1B0C-334C-9D80-1FEF4C03F01B}" srcOrd="0" destOrd="0" presId="urn:microsoft.com/office/officeart/2005/8/layout/cycle6"/>
    <dgm:cxn modelId="{85033E5A-0F98-5E45-96B0-A6926307FC09}" type="presOf" srcId="{4C9BA8EE-0AE8-DF4A-8654-0F82E675B334}" destId="{CC113CD3-228B-974A-90D9-52B789CB2F54}" srcOrd="0" destOrd="0" presId="urn:microsoft.com/office/officeart/2005/8/layout/cycle6"/>
    <dgm:cxn modelId="{8D3CDE95-335B-AA47-A384-DBABD8623D95}" type="presOf" srcId="{C4DDBD2D-D12E-544F-8F12-7FA7A6E40209}" destId="{DEA44637-4B0D-274E-A71B-3C94940755EC}" srcOrd="0" destOrd="0" presId="urn:microsoft.com/office/officeart/2005/8/layout/cycle6"/>
    <dgm:cxn modelId="{6CC4DB9C-9002-BE46-A199-D8AF04453015}" type="presOf" srcId="{7188C664-D02D-CA43-BE1D-0DEFD766C080}" destId="{8CF414B0-5865-7140-B36F-8119D71782C0}" srcOrd="0" destOrd="0" presId="urn:microsoft.com/office/officeart/2005/8/layout/cycle6"/>
    <dgm:cxn modelId="{D280F3BF-6CE2-D945-A1AD-0405C30CCA74}" srcId="{EBC70156-D09E-C244-B47B-503DE8D45975}" destId="{CA3877AD-A879-874B-9A8E-760E2C1EF1A0}" srcOrd="0" destOrd="0" parTransId="{FAB65AB8-722F-CD47-8E26-0189980DAB5C}" sibTransId="{C5EC1E7C-63F4-2341-A573-C8546944C29B}"/>
    <dgm:cxn modelId="{D0C5D2C8-5CC7-C242-8967-B3204AC0B0F0}" srcId="{EBC70156-D09E-C244-B47B-503DE8D45975}" destId="{4C9BA8EE-0AE8-DF4A-8654-0F82E675B334}" srcOrd="3" destOrd="0" parTransId="{DC781C83-320B-A34A-8AAA-9C7E1B3B3176}" sibTransId="{7188C664-D02D-CA43-BE1D-0DEFD766C080}"/>
    <dgm:cxn modelId="{D98593CA-3667-9C4F-B3F3-9FB164395DE8}" type="presOf" srcId="{CA3877AD-A879-874B-9A8E-760E2C1EF1A0}" destId="{222ABD9A-F58C-294D-B5D8-85832399B19D}" srcOrd="0" destOrd="0" presId="urn:microsoft.com/office/officeart/2005/8/layout/cycle6"/>
    <dgm:cxn modelId="{71A8BED1-62C2-E54D-B75F-D081233852E3}" type="presOf" srcId="{92606963-B602-D845-8FD1-79502D55F62E}" destId="{CF3568B9-A592-0C49-8D44-CB20ECF96035}" srcOrd="0" destOrd="0" presId="urn:microsoft.com/office/officeart/2005/8/layout/cycle6"/>
    <dgm:cxn modelId="{1279B3F3-7B00-7647-BE80-46F51A4A29C1}" type="presOf" srcId="{C5EC1E7C-63F4-2341-A573-C8546944C29B}" destId="{2DB60C91-FD24-6E47-B75D-B6C40F98D818}" srcOrd="0" destOrd="0" presId="urn:microsoft.com/office/officeart/2005/8/layout/cycle6"/>
    <dgm:cxn modelId="{5CF067AB-3131-6441-9138-73DBB9F55899}" type="presParOf" srcId="{D13A4AB6-BCB8-E64C-B5E9-42BBE1C7B047}" destId="{222ABD9A-F58C-294D-B5D8-85832399B19D}" srcOrd="0" destOrd="0" presId="urn:microsoft.com/office/officeart/2005/8/layout/cycle6"/>
    <dgm:cxn modelId="{5A7BCC74-4ACB-3D4E-9091-B223DE910AD5}" type="presParOf" srcId="{D13A4AB6-BCB8-E64C-B5E9-42BBE1C7B047}" destId="{22EA5BB0-0E57-FA47-9648-8A8F91CDDA85}" srcOrd="1" destOrd="0" presId="urn:microsoft.com/office/officeart/2005/8/layout/cycle6"/>
    <dgm:cxn modelId="{774986B2-592D-6B45-ABD1-8441FC64BC4E}" type="presParOf" srcId="{D13A4AB6-BCB8-E64C-B5E9-42BBE1C7B047}" destId="{2DB60C91-FD24-6E47-B75D-B6C40F98D818}" srcOrd="2" destOrd="0" presId="urn:microsoft.com/office/officeart/2005/8/layout/cycle6"/>
    <dgm:cxn modelId="{775081B0-7A1F-0943-BF6D-04E10CA480A1}" type="presParOf" srcId="{D13A4AB6-BCB8-E64C-B5E9-42BBE1C7B047}" destId="{C48CC92B-1B0C-334C-9D80-1FEF4C03F01B}" srcOrd="3" destOrd="0" presId="urn:microsoft.com/office/officeart/2005/8/layout/cycle6"/>
    <dgm:cxn modelId="{28CE22F6-E88D-7143-9119-CFE1E5308F44}" type="presParOf" srcId="{D13A4AB6-BCB8-E64C-B5E9-42BBE1C7B047}" destId="{61F8F804-0B29-F04B-8A4D-FD30A70D4E2F}" srcOrd="4" destOrd="0" presId="urn:microsoft.com/office/officeart/2005/8/layout/cycle6"/>
    <dgm:cxn modelId="{5801F3F2-60F1-5B47-A45A-DBD2DF7CFFBB}" type="presParOf" srcId="{D13A4AB6-BCB8-E64C-B5E9-42BBE1C7B047}" destId="{6986A960-6BEA-D646-B7B5-CEA348F38348}" srcOrd="5" destOrd="0" presId="urn:microsoft.com/office/officeart/2005/8/layout/cycle6"/>
    <dgm:cxn modelId="{EF6F8A1B-567C-274A-95DD-4F6DB3C079C4}" type="presParOf" srcId="{D13A4AB6-BCB8-E64C-B5E9-42BBE1C7B047}" destId="{DEA44637-4B0D-274E-A71B-3C94940755EC}" srcOrd="6" destOrd="0" presId="urn:microsoft.com/office/officeart/2005/8/layout/cycle6"/>
    <dgm:cxn modelId="{C2A6477C-8BAD-3643-8893-049B069A6889}" type="presParOf" srcId="{D13A4AB6-BCB8-E64C-B5E9-42BBE1C7B047}" destId="{BE65F4DB-E530-CF47-8D24-36EAEC65CD43}" srcOrd="7" destOrd="0" presId="urn:microsoft.com/office/officeart/2005/8/layout/cycle6"/>
    <dgm:cxn modelId="{07322597-6982-DE42-919C-A390EAA8A8D3}" type="presParOf" srcId="{D13A4AB6-BCB8-E64C-B5E9-42BBE1C7B047}" destId="{CF3568B9-A592-0C49-8D44-CB20ECF96035}" srcOrd="8" destOrd="0" presId="urn:microsoft.com/office/officeart/2005/8/layout/cycle6"/>
    <dgm:cxn modelId="{10B84B4E-53E3-264D-8A22-75DD718D6274}" type="presParOf" srcId="{D13A4AB6-BCB8-E64C-B5E9-42BBE1C7B047}" destId="{CC113CD3-228B-974A-90D9-52B789CB2F54}" srcOrd="9" destOrd="0" presId="urn:microsoft.com/office/officeart/2005/8/layout/cycle6"/>
    <dgm:cxn modelId="{3056F952-952A-6C49-93C8-873AD5AF63BF}" type="presParOf" srcId="{D13A4AB6-BCB8-E64C-B5E9-42BBE1C7B047}" destId="{58B6C4A5-F819-F947-962B-164E723C7C3B}" srcOrd="10" destOrd="0" presId="urn:microsoft.com/office/officeart/2005/8/layout/cycle6"/>
    <dgm:cxn modelId="{E1191DA0-2066-3941-9AF4-EA15C547991F}" type="presParOf" srcId="{D13A4AB6-BCB8-E64C-B5E9-42BBE1C7B047}" destId="{8CF414B0-5865-7140-B36F-8119D71782C0}" srcOrd="11" destOrd="0" presId="urn:microsoft.com/office/officeart/2005/8/layout/cycle6"/>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2ABD9A-F58C-294D-B5D8-85832399B19D}">
      <dsp:nvSpPr>
        <dsp:cNvPr id="0" name=""/>
        <dsp:cNvSpPr/>
      </dsp:nvSpPr>
      <dsp:spPr>
        <a:xfrm>
          <a:off x="1733256" y="78158"/>
          <a:ext cx="708246" cy="435608"/>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b="1" kern="1200" dirty="0"/>
            <a:t>R</a:t>
          </a:r>
          <a:r>
            <a:rPr lang="es-ES" sz="900" b="0" kern="1200" dirty="0"/>
            <a:t>educir</a:t>
          </a:r>
        </a:p>
      </dsp:txBody>
      <dsp:txXfrm>
        <a:off x="1754521" y="99423"/>
        <a:ext cx="665716" cy="393078"/>
      </dsp:txXfrm>
    </dsp:sp>
    <dsp:sp modelId="{2DB60C91-FD24-6E47-B75D-B6C40F98D818}">
      <dsp:nvSpPr>
        <dsp:cNvPr id="0" name=""/>
        <dsp:cNvSpPr/>
      </dsp:nvSpPr>
      <dsp:spPr>
        <a:xfrm>
          <a:off x="1168141" y="315608"/>
          <a:ext cx="1948908" cy="1948908"/>
        </a:xfrm>
        <a:custGeom>
          <a:avLst/>
          <a:gdLst/>
          <a:ahLst/>
          <a:cxnLst/>
          <a:rect l="0" t="0" r="0" b="0"/>
          <a:pathLst>
            <a:path>
              <a:moveTo>
                <a:pt x="1282443" y="49952"/>
              </a:moveTo>
              <a:arcTo wR="974454" hR="974454" stAng="17305500" swAng="34559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48CC92B-1B0C-334C-9D80-1FEF4C03F01B}">
      <dsp:nvSpPr>
        <dsp:cNvPr id="0" name=""/>
        <dsp:cNvSpPr/>
      </dsp:nvSpPr>
      <dsp:spPr>
        <a:xfrm>
          <a:off x="2757295" y="1063996"/>
          <a:ext cx="708246" cy="435608"/>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b="1" kern="1200" dirty="0"/>
            <a:t>R</a:t>
          </a:r>
          <a:r>
            <a:rPr lang="es-ES" sz="900" b="0" kern="1200" dirty="0"/>
            <a:t>eusar</a:t>
          </a:r>
        </a:p>
      </dsp:txBody>
      <dsp:txXfrm>
        <a:off x="2778560" y="1085261"/>
        <a:ext cx="665716" cy="393078"/>
      </dsp:txXfrm>
    </dsp:sp>
    <dsp:sp modelId="{6986A960-6BEA-D646-B7B5-CEA348F38348}">
      <dsp:nvSpPr>
        <dsp:cNvPr id="0" name=""/>
        <dsp:cNvSpPr/>
      </dsp:nvSpPr>
      <dsp:spPr>
        <a:xfrm>
          <a:off x="1168976" y="276046"/>
          <a:ext cx="1948908" cy="1948908"/>
        </a:xfrm>
        <a:custGeom>
          <a:avLst/>
          <a:gdLst/>
          <a:ahLst/>
          <a:cxnLst/>
          <a:rect l="0" t="0" r="0" b="0"/>
          <a:pathLst>
            <a:path>
              <a:moveTo>
                <a:pt x="1914095" y="1232590"/>
              </a:moveTo>
              <a:arcTo wR="974454" hR="974454" stAng="921674" swAng="337663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EA44637-4B0D-274E-A71B-3C94940755EC}">
      <dsp:nvSpPr>
        <dsp:cNvPr id="0" name=""/>
        <dsp:cNvSpPr/>
      </dsp:nvSpPr>
      <dsp:spPr>
        <a:xfrm>
          <a:off x="1733256" y="2027066"/>
          <a:ext cx="708246" cy="435608"/>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b="1" kern="1200" dirty="0"/>
            <a:t>R</a:t>
          </a:r>
          <a:r>
            <a:rPr lang="es-ES" sz="900" b="0" kern="1200" dirty="0"/>
            <a:t>eciclar</a:t>
          </a:r>
        </a:p>
      </dsp:txBody>
      <dsp:txXfrm>
        <a:off x="1754521" y="2048331"/>
        <a:ext cx="665716" cy="393078"/>
      </dsp:txXfrm>
    </dsp:sp>
    <dsp:sp modelId="{CF3568B9-A592-0C49-8D44-CB20ECF96035}">
      <dsp:nvSpPr>
        <dsp:cNvPr id="0" name=""/>
        <dsp:cNvSpPr/>
      </dsp:nvSpPr>
      <dsp:spPr>
        <a:xfrm>
          <a:off x="1073171" y="281441"/>
          <a:ext cx="1948908" cy="1948908"/>
        </a:xfrm>
        <a:custGeom>
          <a:avLst/>
          <a:gdLst/>
          <a:ahLst/>
          <a:cxnLst/>
          <a:rect l="0" t="0" r="0" b="0"/>
          <a:pathLst>
            <a:path>
              <a:moveTo>
                <a:pt x="651242" y="1893744"/>
              </a:moveTo>
              <a:arcTo wR="974454" hR="974454" stAng="6562262" swAng="337714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C113CD3-228B-974A-90D9-52B789CB2F54}">
      <dsp:nvSpPr>
        <dsp:cNvPr id="0" name=""/>
        <dsp:cNvSpPr/>
      </dsp:nvSpPr>
      <dsp:spPr>
        <a:xfrm>
          <a:off x="723381" y="1052612"/>
          <a:ext cx="708246" cy="435608"/>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b="1" kern="1200" dirty="0"/>
            <a:t>+D</a:t>
          </a:r>
          <a:r>
            <a:rPr lang="es-ES" sz="900" b="0" kern="1200" dirty="0"/>
            <a:t>isponer bien</a:t>
          </a:r>
        </a:p>
      </dsp:txBody>
      <dsp:txXfrm>
        <a:off x="744646" y="1073877"/>
        <a:ext cx="665716" cy="393078"/>
      </dsp:txXfrm>
    </dsp:sp>
    <dsp:sp modelId="{8CF414B0-5865-7140-B36F-8119D71782C0}">
      <dsp:nvSpPr>
        <dsp:cNvPr id="0" name=""/>
        <dsp:cNvSpPr/>
      </dsp:nvSpPr>
      <dsp:spPr>
        <a:xfrm>
          <a:off x="1073171" y="310483"/>
          <a:ext cx="1948908" cy="1948908"/>
        </a:xfrm>
        <a:custGeom>
          <a:avLst/>
          <a:gdLst/>
          <a:ahLst/>
          <a:cxnLst/>
          <a:rect l="0" t="0" r="0" b="0"/>
          <a:pathLst>
            <a:path>
              <a:moveTo>
                <a:pt x="30374" y="733052"/>
              </a:moveTo>
              <a:arcTo wR="974454" hR="974454" stAng="11660592" swAng="337714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2022-02-21T20:00:00+00:00</UNDPPublishedDate>
    <UNDPCountryTaxHTField0 xmlns="1ed4137b-41b2-488b-8250-6d369ec27664">
      <Terms xmlns="http://schemas.microsoft.com/office/infopath/2007/PartnerControls"/>
    </UNDPCountryTaxHTField0>
    <UndpOUCode xmlns="1ed4137b-41b2-488b-8250-6d369ec27664">DOM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Project Brief or Concept Note</TermName>
          <TermId xmlns="http://schemas.microsoft.com/office/infopath/2007/PartnerControls">c89d25a9-dd3f-462e-8a4a-961bffdfee07</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2021-12-31T05:00:00+00:00</Document_x0020_Coverage_x0020_Period_x0020_End_x0020_Date>
    <Project_x0020_Number xmlns="f1161f5b-24a3-4c2d-bc81-44cb9325e8ee" xsi:nil="true"/>
    <Project_x0020_Manager xmlns="f1161f5b-24a3-4c2d-bc81-44cb9325e8ee" xsi:nil="true"/>
    <TaxCatchAll xmlns="1ed4137b-41b2-488b-8250-6d369ec27664">
      <Value>1317</Value>
      <Value>1793</Value>
      <Value>1</Value>
      <Value>763</Value>
    </TaxCatchAll>
    <c4e2ab2cc9354bbf9064eeb465a566ea xmlns="1ed4137b-41b2-488b-8250-6d369ec27664">
      <Terms xmlns="http://schemas.microsoft.com/office/infopath/2007/PartnerControls"/>
    </c4e2ab2cc9354bbf9064eeb465a566ea>
    <UndpProjectNo xmlns="1ed4137b-41b2-488b-8250-6d369ec27664">00127940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DOM</TermName>
          <TermId xmlns="http://schemas.microsoft.com/office/infopath/2007/PartnerControls">f2379a90-d451-4643-937f-deabdd1126f9</TermId>
        </TermInfo>
      </Terms>
    </gc6531b704974d528487414686b72f6f>
    <_dlc_DocId xmlns="f1161f5b-24a3-4c2d-bc81-44cb9325e8ee">ATLASPDC-4-146433</_dlc_DocId>
    <_dlc_DocIdUrl xmlns="f1161f5b-24a3-4c2d-bc81-44cb9325e8ee">
      <Url>https://info.undp.org/docs/pdc/_layouts/DocIdRedir.aspx?ID=ATLASPDC-4-146433</Url>
      <Description>ATLASPDC-4-146433</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E26BCB3A-C73A-4908-9625-EF9F95AB29F6}">
  <ds:schemaRefs>
    <ds:schemaRef ds:uri="http://schemas.openxmlformats.org/officeDocument/2006/bibliography"/>
  </ds:schemaRefs>
</ds:datastoreItem>
</file>

<file path=customXml/itemProps2.xml><?xml version="1.0" encoding="utf-8"?>
<ds:datastoreItem xmlns:ds="http://schemas.openxmlformats.org/officeDocument/2006/customXml" ds:itemID="{92607BB9-6D57-48DD-954E-E9862338DDE8}"/>
</file>

<file path=customXml/itemProps3.xml><?xml version="1.0" encoding="utf-8"?>
<ds:datastoreItem xmlns:ds="http://schemas.openxmlformats.org/officeDocument/2006/customXml" ds:itemID="{12455B21-1E34-4FE7-B906-4F916B0A4DF0}"/>
</file>

<file path=customXml/itemProps4.xml><?xml version="1.0" encoding="utf-8"?>
<ds:datastoreItem xmlns:ds="http://schemas.openxmlformats.org/officeDocument/2006/customXml" ds:itemID="{A51E5F96-9013-48AC-A637-03F439266E56}"/>
</file>

<file path=customXml/itemProps5.xml><?xml version="1.0" encoding="utf-8"?>
<ds:datastoreItem xmlns:ds="http://schemas.openxmlformats.org/officeDocument/2006/customXml" ds:itemID="{1BBADCD9-E940-4CD1-991A-8215E72344F6}"/>
</file>

<file path=customXml/itemProps6.xml><?xml version="1.0" encoding="utf-8"?>
<ds:datastoreItem xmlns:ds="http://schemas.openxmlformats.org/officeDocument/2006/customXml" ds:itemID="{491FADAE-2F05-41D3-A82D-0D8CA8C0A795}"/>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8232</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Lefort</dc:creator>
  <cp:keywords/>
  <dc:description/>
  <cp:lastModifiedBy>Anadel Rodriguez</cp:lastModifiedBy>
  <cp:revision>2</cp:revision>
  <cp:lastPrinted>2021-04-05T14:23:00Z</cp:lastPrinted>
  <dcterms:created xsi:type="dcterms:W3CDTF">2022-02-21T20:14:00Z</dcterms:created>
  <dcterms:modified xsi:type="dcterms:W3CDTF">2022-02-21T20:14:00Z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1317;#DOM|f2379a90-d451-4643-937f-deabdd1126f9</vt:lpwstr>
  </property>
  <property fmtid="{D5CDD505-2E9C-101B-9397-08002B2CF9AE}" pid="8" name="Atlas Document Status">
    <vt:lpwstr>763;#Draft|121d40a5-e62e-4d42-82e4-d6d12003de0a</vt:lpwstr>
  </property>
  <property fmtid="{D5CDD505-2E9C-101B-9397-08002B2CF9AE}" pid="9" name="Atlas Document Type">
    <vt:lpwstr>1793;#Project Brief or Concept Note|c89d25a9-dd3f-462e-8a4a-961bffdfee07</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f1fdf338-f37a-4893-af4b-cca5c16cf083</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